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CE3EB">
      <w:pPr>
        <w:pStyle w:val="14"/>
        <w:spacing w:beforeLines="0" w:afterLines="0"/>
        <w:rPr>
          <w:rFonts w:ascii="Times New Roman" w:hAnsi="Times New Roman"/>
          <w:b/>
          <w:color w:val="000000"/>
        </w:rPr>
      </w:pPr>
      <w:bookmarkStart w:id="0" w:name="_Toc155362917"/>
      <w:bookmarkStart w:id="1" w:name="_Toc2059486216"/>
      <w:r>
        <w:rPr>
          <w:rFonts w:ascii="Times New Roman" w:hAnsi="Times New Roman"/>
          <w:color w:val="000000"/>
        </w:rPr>
        <w:t>附件3</w:t>
      </w:r>
      <w:bookmarkEnd w:id="0"/>
      <w:bookmarkEnd w:id="1"/>
    </w:p>
    <w:p w14:paraId="0A5D2781">
      <w:pPr>
        <w:rPr>
          <w:rFonts w:ascii="Times New Roman" w:hAnsi="Times New Roman" w:eastAsia="仿宋"/>
          <w:color w:val="000000"/>
          <w:sz w:val="30"/>
          <w:szCs w:val="30"/>
        </w:rPr>
      </w:pPr>
    </w:p>
    <w:p w14:paraId="02395E92">
      <w:pPr>
        <w:rPr>
          <w:rFonts w:ascii="Times New Roman" w:hAnsi="Times New Roman" w:eastAsia="仿宋"/>
          <w:color w:val="000000"/>
          <w:sz w:val="44"/>
          <w:szCs w:val="44"/>
        </w:rPr>
      </w:pPr>
    </w:p>
    <w:p w14:paraId="658B7C05">
      <w:pPr>
        <w:jc w:val="center"/>
        <w:rPr>
          <w:rFonts w:ascii="Times New Roman" w:hAnsi="Times New Roman" w:eastAsia="方正小标宋简体"/>
          <w:color w:val="000000"/>
          <w:sz w:val="44"/>
          <w:szCs w:val="44"/>
        </w:rPr>
      </w:pPr>
      <w:r>
        <w:rPr>
          <w:rFonts w:ascii="Times New Roman" w:hAnsi="Times New Roman" w:eastAsia="方正小标宋简体"/>
          <w:color w:val="000000"/>
          <w:sz w:val="44"/>
          <w:szCs w:val="44"/>
        </w:rPr>
        <w:t>编 制 说 明</w:t>
      </w:r>
    </w:p>
    <w:p w14:paraId="6C3AD3E3">
      <w:pPr>
        <w:jc w:val="center"/>
        <w:rPr>
          <w:rFonts w:ascii="Times New Roman" w:hAnsi="Times New Roman" w:eastAsia="仿宋"/>
          <w:b/>
          <w:bCs/>
          <w:color w:val="000000"/>
          <w:sz w:val="30"/>
          <w:szCs w:val="30"/>
        </w:rPr>
      </w:pPr>
      <w:r>
        <w:rPr>
          <w:rFonts w:ascii="Times New Roman" w:hAnsi="Times New Roman" w:eastAsia="仿宋"/>
          <w:color w:val="000000"/>
          <w:sz w:val="30"/>
          <w:szCs w:val="30"/>
        </w:rPr>
        <w:br w:type="textWrapping"/>
      </w:r>
      <w:r>
        <w:rPr>
          <w:rFonts w:ascii="Times New Roman" w:hAnsi="Times New Roman" w:eastAsia="仿宋"/>
          <w:b/>
          <w:bCs/>
          <w:color w:val="000000"/>
          <w:sz w:val="30"/>
          <w:szCs w:val="30"/>
        </w:rPr>
        <w:t>（</w:t>
      </w:r>
      <w:r>
        <w:rPr>
          <w:rFonts w:hint="eastAsia" w:ascii="Times New Roman" w:hAnsi="Times New Roman" w:eastAsia="仿宋"/>
          <w:b/>
          <w:bCs/>
          <w:color w:val="000000"/>
          <w:sz w:val="30"/>
          <w:szCs w:val="30"/>
        </w:rPr>
        <w:t>征求意见</w:t>
      </w:r>
      <w:r>
        <w:rPr>
          <w:rFonts w:ascii="Times New Roman" w:hAnsi="Times New Roman" w:eastAsia="仿宋"/>
          <w:b/>
          <w:bCs/>
          <w:color w:val="000000"/>
          <w:sz w:val="30"/>
          <w:szCs w:val="30"/>
        </w:rPr>
        <w:t>稿）</w:t>
      </w:r>
    </w:p>
    <w:p w14:paraId="017C4344">
      <w:pPr>
        <w:jc w:val="center"/>
        <w:rPr>
          <w:rFonts w:ascii="Times New Roman" w:hAnsi="Times New Roman" w:eastAsia="仿宋_GB2312"/>
          <w:color w:val="000000"/>
          <w:sz w:val="28"/>
          <w:szCs w:val="28"/>
        </w:rPr>
      </w:pPr>
    </w:p>
    <w:p w14:paraId="7CC86820">
      <w:pPr>
        <w:jc w:val="center"/>
        <w:rPr>
          <w:rFonts w:ascii="Times New Roman" w:hAnsi="Times New Roman" w:eastAsia="仿宋_GB2312"/>
          <w:color w:val="000000"/>
          <w:sz w:val="28"/>
          <w:szCs w:val="28"/>
        </w:rPr>
      </w:pPr>
    </w:p>
    <w:p w14:paraId="2118D5FF">
      <w:pPr>
        <w:jc w:val="center"/>
        <w:rPr>
          <w:rFonts w:ascii="Times New Roman" w:hAnsi="Times New Roman" w:eastAsia="仿宋_GB2312"/>
          <w:color w:val="000000"/>
          <w:sz w:val="28"/>
          <w:szCs w:val="28"/>
        </w:rPr>
      </w:pPr>
    </w:p>
    <w:p w14:paraId="2D8D8F9D">
      <w:pPr>
        <w:jc w:val="center"/>
        <w:rPr>
          <w:rFonts w:ascii="Times New Roman" w:hAnsi="Times New Roman" w:eastAsia="仿宋_GB2312"/>
          <w:color w:val="000000"/>
          <w:sz w:val="28"/>
          <w:szCs w:val="28"/>
        </w:rPr>
      </w:pPr>
    </w:p>
    <w:p w14:paraId="08CF13A6">
      <w:pPr>
        <w:jc w:val="center"/>
        <w:rPr>
          <w:rFonts w:ascii="Times New Roman" w:hAnsi="Times New Roman" w:eastAsia="仿宋_GB2312"/>
          <w:color w:val="000000"/>
          <w:sz w:val="28"/>
          <w:szCs w:val="28"/>
        </w:rPr>
      </w:pPr>
    </w:p>
    <w:p w14:paraId="0A4C28D4">
      <w:pPr>
        <w:jc w:val="center"/>
        <w:rPr>
          <w:rFonts w:ascii="Times New Roman" w:hAnsi="Times New Roman" w:eastAsia="仿宋_GB2312"/>
          <w:color w:val="000000"/>
          <w:sz w:val="28"/>
          <w:szCs w:val="28"/>
        </w:rPr>
      </w:pPr>
    </w:p>
    <w:p w14:paraId="07F1766C">
      <w:pPr>
        <w:jc w:val="center"/>
        <w:rPr>
          <w:rFonts w:ascii="Times New Roman" w:hAnsi="Times New Roman" w:eastAsia="仿宋_GB2312"/>
          <w:color w:val="000000"/>
          <w:sz w:val="28"/>
          <w:szCs w:val="28"/>
        </w:rPr>
      </w:pPr>
    </w:p>
    <w:p w14:paraId="59C056E5">
      <w:pPr>
        <w:jc w:val="center"/>
        <w:rPr>
          <w:rFonts w:ascii="Times New Roman" w:hAnsi="Times New Roman" w:eastAsia="仿宋_GB2312"/>
          <w:color w:val="000000"/>
          <w:sz w:val="28"/>
          <w:szCs w:val="28"/>
        </w:rPr>
      </w:pPr>
    </w:p>
    <w:p w14:paraId="04EC4503">
      <w:pPr>
        <w:jc w:val="center"/>
        <w:rPr>
          <w:rFonts w:ascii="Times New Roman" w:hAnsi="Times New Roman" w:eastAsia="仿宋_GB2312"/>
          <w:color w:val="000000"/>
          <w:sz w:val="28"/>
          <w:szCs w:val="28"/>
        </w:rPr>
      </w:pPr>
    </w:p>
    <w:p w14:paraId="3AD4C979">
      <w:pPr>
        <w:jc w:val="center"/>
        <w:rPr>
          <w:rFonts w:ascii="Times New Roman" w:hAnsi="Times New Roman" w:eastAsia="仿宋_GB2312"/>
          <w:color w:val="000000"/>
          <w:sz w:val="28"/>
          <w:szCs w:val="28"/>
        </w:rPr>
      </w:pPr>
    </w:p>
    <w:p w14:paraId="226BE3FB">
      <w:pPr>
        <w:rPr>
          <w:rFonts w:ascii="Times New Roman" w:hAnsi="Times New Roman" w:eastAsia="仿宋_GB2312"/>
          <w:color w:val="000000"/>
          <w:sz w:val="28"/>
          <w:szCs w:val="28"/>
        </w:rPr>
      </w:pPr>
    </w:p>
    <w:tbl>
      <w:tblPr>
        <w:tblStyle w:val="9"/>
        <w:tblW w:w="0" w:type="auto"/>
        <w:jc w:val="center"/>
        <w:tblLayout w:type="fixed"/>
        <w:tblCellMar>
          <w:top w:w="0" w:type="dxa"/>
          <w:left w:w="108" w:type="dxa"/>
          <w:bottom w:w="0" w:type="dxa"/>
          <w:right w:w="108" w:type="dxa"/>
        </w:tblCellMar>
      </w:tblPr>
      <w:tblGrid>
        <w:gridCol w:w="2268"/>
        <w:gridCol w:w="5723"/>
      </w:tblGrid>
      <w:tr w14:paraId="52AE270A">
        <w:tblPrEx>
          <w:tblCellMar>
            <w:top w:w="0" w:type="dxa"/>
            <w:left w:w="108" w:type="dxa"/>
            <w:bottom w:w="0" w:type="dxa"/>
            <w:right w:w="108" w:type="dxa"/>
          </w:tblCellMar>
        </w:tblPrEx>
        <w:trPr>
          <w:trHeight w:val="737" w:hRule="atLeast"/>
          <w:jc w:val="center"/>
        </w:trPr>
        <w:tc>
          <w:tcPr>
            <w:tcW w:w="2268" w:type="dxa"/>
            <w:vAlign w:val="bottom"/>
          </w:tcPr>
          <w:p w14:paraId="0A19C01E">
            <w:pPr>
              <w:spacing w:line="400" w:lineRule="exact"/>
              <w:jc w:val="distribute"/>
              <w:rPr>
                <w:rFonts w:ascii="Times New Roman" w:hAnsi="Times New Roman"/>
                <w:b/>
                <w:color w:val="000000"/>
                <w:sz w:val="30"/>
                <w:szCs w:val="30"/>
              </w:rPr>
            </w:pPr>
            <w:r>
              <w:rPr>
                <w:rFonts w:ascii="Times New Roman" w:hAnsi="Times New Roman"/>
                <w:b/>
                <w:color w:val="000000"/>
                <w:sz w:val="30"/>
                <w:szCs w:val="30"/>
              </w:rPr>
              <w:t>标准名称：</w:t>
            </w:r>
          </w:p>
        </w:tc>
        <w:tc>
          <w:tcPr>
            <w:tcW w:w="5723" w:type="dxa"/>
            <w:tcBorders>
              <w:bottom w:val="single" w:color="auto" w:sz="4" w:space="0"/>
            </w:tcBorders>
            <w:vAlign w:val="bottom"/>
          </w:tcPr>
          <w:p w14:paraId="3BB3DA07">
            <w:pPr>
              <w:spacing w:line="400" w:lineRule="exact"/>
              <w:jc w:val="center"/>
              <w:rPr>
                <w:rFonts w:ascii="Times New Roman" w:hAnsi="Times New Roman" w:eastAsia="仿宋"/>
                <w:bCs/>
                <w:color w:val="000000"/>
                <w:sz w:val="30"/>
                <w:szCs w:val="30"/>
              </w:rPr>
            </w:pPr>
            <w:r>
              <w:rPr>
                <w:rFonts w:hint="eastAsia" w:ascii="Times New Roman" w:hAnsi="Times New Roman" w:eastAsia="仿宋"/>
                <w:bCs/>
                <w:color w:val="000000"/>
                <w:sz w:val="30"/>
                <w:szCs w:val="30"/>
              </w:rPr>
              <w:t>博物馆公共文化服务  教育服务规范</w:t>
            </w:r>
          </w:p>
        </w:tc>
      </w:tr>
      <w:tr w14:paraId="2534B80E">
        <w:tblPrEx>
          <w:tblCellMar>
            <w:top w:w="0" w:type="dxa"/>
            <w:left w:w="108" w:type="dxa"/>
            <w:bottom w:w="0" w:type="dxa"/>
            <w:right w:w="108" w:type="dxa"/>
          </w:tblCellMar>
        </w:tblPrEx>
        <w:trPr>
          <w:trHeight w:val="737" w:hRule="atLeast"/>
          <w:jc w:val="center"/>
        </w:trPr>
        <w:tc>
          <w:tcPr>
            <w:tcW w:w="2268" w:type="dxa"/>
            <w:vAlign w:val="bottom"/>
          </w:tcPr>
          <w:p w14:paraId="4BC725BE">
            <w:pPr>
              <w:spacing w:line="400" w:lineRule="exact"/>
              <w:jc w:val="distribute"/>
              <w:rPr>
                <w:rFonts w:ascii="Times New Roman" w:hAnsi="Times New Roman"/>
                <w:b/>
                <w:color w:val="000000"/>
                <w:sz w:val="30"/>
                <w:szCs w:val="30"/>
              </w:rPr>
            </w:pPr>
            <w:r>
              <w:rPr>
                <w:rFonts w:ascii="Times New Roman" w:hAnsi="Times New Roman"/>
                <w:b/>
                <w:color w:val="000000"/>
                <w:sz w:val="30"/>
                <w:szCs w:val="30"/>
              </w:rPr>
              <w:t>计 划 号：</w:t>
            </w:r>
          </w:p>
        </w:tc>
        <w:tc>
          <w:tcPr>
            <w:tcW w:w="5723" w:type="dxa"/>
            <w:tcBorders>
              <w:top w:val="single" w:color="auto" w:sz="4" w:space="0"/>
              <w:bottom w:val="single" w:color="auto" w:sz="4" w:space="0"/>
            </w:tcBorders>
            <w:vAlign w:val="bottom"/>
          </w:tcPr>
          <w:p w14:paraId="6F2BB77E">
            <w:pPr>
              <w:spacing w:line="400" w:lineRule="exact"/>
              <w:jc w:val="center"/>
              <w:rPr>
                <w:rFonts w:ascii="Times New Roman" w:hAnsi="Times New Roman" w:eastAsia="仿宋"/>
                <w:bCs/>
                <w:color w:val="000000"/>
                <w:sz w:val="30"/>
                <w:szCs w:val="30"/>
              </w:rPr>
            </w:pPr>
          </w:p>
        </w:tc>
      </w:tr>
      <w:tr w14:paraId="06930999">
        <w:tblPrEx>
          <w:tblCellMar>
            <w:top w:w="0" w:type="dxa"/>
            <w:left w:w="108" w:type="dxa"/>
            <w:bottom w:w="0" w:type="dxa"/>
            <w:right w:w="108" w:type="dxa"/>
          </w:tblCellMar>
        </w:tblPrEx>
        <w:trPr>
          <w:trHeight w:val="737" w:hRule="atLeast"/>
          <w:jc w:val="center"/>
        </w:trPr>
        <w:tc>
          <w:tcPr>
            <w:tcW w:w="2268" w:type="dxa"/>
            <w:vAlign w:val="bottom"/>
          </w:tcPr>
          <w:p w14:paraId="4160DA37">
            <w:pPr>
              <w:spacing w:line="400" w:lineRule="exact"/>
              <w:jc w:val="distribute"/>
              <w:rPr>
                <w:rFonts w:ascii="Times New Roman" w:hAnsi="Times New Roman"/>
                <w:b/>
                <w:color w:val="000000"/>
                <w:sz w:val="30"/>
                <w:szCs w:val="30"/>
              </w:rPr>
            </w:pPr>
            <w:r>
              <w:rPr>
                <w:rFonts w:ascii="Times New Roman" w:hAnsi="Times New Roman"/>
                <w:b/>
                <w:color w:val="000000"/>
                <w:sz w:val="30"/>
                <w:szCs w:val="30"/>
              </w:rPr>
              <w:t>标准性质：</w:t>
            </w:r>
          </w:p>
        </w:tc>
        <w:tc>
          <w:tcPr>
            <w:tcW w:w="5723" w:type="dxa"/>
            <w:tcBorders>
              <w:top w:val="single" w:color="auto" w:sz="4" w:space="0"/>
              <w:bottom w:val="single" w:color="auto" w:sz="4" w:space="0"/>
            </w:tcBorders>
            <w:vAlign w:val="bottom"/>
          </w:tcPr>
          <w:p w14:paraId="3432A1E0">
            <w:pPr>
              <w:spacing w:line="400" w:lineRule="exact"/>
              <w:jc w:val="center"/>
              <w:rPr>
                <w:rFonts w:ascii="Times New Roman" w:hAnsi="Times New Roman" w:eastAsia="仿宋"/>
                <w:bCs/>
                <w:color w:val="000000"/>
                <w:sz w:val="30"/>
                <w:szCs w:val="30"/>
              </w:rPr>
            </w:pPr>
          </w:p>
          <w:p w14:paraId="2310C71B">
            <w:pPr>
              <w:spacing w:line="400" w:lineRule="exact"/>
              <w:ind w:firstLine="150" w:firstLineChars="50"/>
              <w:jc w:val="center"/>
              <w:rPr>
                <w:rFonts w:ascii="Times New Roman" w:hAnsi="Times New Roman" w:eastAsia="仿宋"/>
                <w:bCs/>
                <w:color w:val="000000"/>
                <w:sz w:val="30"/>
                <w:szCs w:val="30"/>
              </w:rPr>
            </w:pPr>
            <w:r>
              <w:rPr>
                <w:rFonts w:ascii="Times New Roman" w:hAnsi="Times New Roman" w:eastAsia="仿宋"/>
                <w:bCs/>
                <w:color w:val="000000"/>
                <w:sz w:val="30"/>
                <w:szCs w:val="30"/>
              </w:rPr>
              <w:sym w:font="Wingdings" w:char="00A8"/>
            </w:r>
            <w:r>
              <w:rPr>
                <w:rFonts w:ascii="Times New Roman" w:hAnsi="Times New Roman" w:eastAsia="仿宋"/>
                <w:bCs/>
                <w:color w:val="000000"/>
                <w:sz w:val="30"/>
                <w:szCs w:val="30"/>
              </w:rPr>
              <w:t xml:space="preserve">强制性国家标准  </w:t>
            </w:r>
            <w:r>
              <w:rPr>
                <w:rFonts w:ascii="Times New Roman" w:hAnsi="Times New Roman" w:eastAsia="仿宋"/>
                <w:bCs/>
                <w:color w:val="000000"/>
                <w:sz w:val="30"/>
                <w:szCs w:val="30"/>
              </w:rPr>
              <w:sym w:font="Wingdings" w:char="00A8"/>
            </w:r>
            <w:r>
              <w:rPr>
                <w:rFonts w:ascii="Times New Roman" w:hAnsi="Times New Roman" w:eastAsia="仿宋"/>
                <w:bCs/>
                <w:color w:val="000000"/>
                <w:sz w:val="30"/>
                <w:szCs w:val="30"/>
              </w:rPr>
              <w:t>推荐性国家标准</w:t>
            </w:r>
          </w:p>
          <w:p w14:paraId="4933E27B">
            <w:pPr>
              <w:spacing w:line="400" w:lineRule="exact"/>
              <w:ind w:firstLine="150" w:firstLineChars="50"/>
              <w:jc w:val="center"/>
              <w:rPr>
                <w:rFonts w:ascii="Times New Roman" w:hAnsi="Times New Roman" w:eastAsia="仿宋"/>
                <w:bCs/>
                <w:color w:val="000000"/>
                <w:sz w:val="30"/>
                <w:szCs w:val="30"/>
              </w:rPr>
            </w:pPr>
            <w:r>
              <w:rPr>
                <w:rFonts w:hint="eastAsia" w:ascii="Times New Roman" w:hAnsi="Times New Roman" w:eastAsia="仿宋"/>
                <w:bCs/>
                <w:color w:val="000000"/>
                <w:sz w:val="30"/>
                <w:szCs w:val="30"/>
              </w:rPr>
              <w:t>√</w:t>
            </w:r>
            <w:r>
              <w:rPr>
                <w:rFonts w:ascii="Times New Roman" w:hAnsi="Times New Roman" w:eastAsia="仿宋"/>
                <w:bCs/>
                <w:color w:val="000000"/>
                <w:sz w:val="30"/>
                <w:szCs w:val="30"/>
              </w:rPr>
              <w:t xml:space="preserve">推荐性行业标准  </w:t>
            </w:r>
            <w:r>
              <w:rPr>
                <w:rFonts w:ascii="Times New Roman" w:hAnsi="Times New Roman" w:eastAsia="仿宋"/>
                <w:bCs/>
                <w:color w:val="000000"/>
                <w:sz w:val="30"/>
                <w:szCs w:val="30"/>
              </w:rPr>
              <w:sym w:font="Wingdings" w:char="00A8"/>
            </w:r>
            <w:r>
              <w:rPr>
                <w:rFonts w:ascii="Times New Roman" w:hAnsi="Times New Roman" w:eastAsia="仿宋"/>
                <w:bCs/>
                <w:color w:val="000000"/>
                <w:sz w:val="30"/>
                <w:szCs w:val="30"/>
              </w:rPr>
              <w:t>指导性技术文件</w:t>
            </w:r>
          </w:p>
        </w:tc>
      </w:tr>
      <w:tr w14:paraId="37BCCE75">
        <w:tblPrEx>
          <w:tblCellMar>
            <w:top w:w="0" w:type="dxa"/>
            <w:left w:w="108" w:type="dxa"/>
            <w:bottom w:w="0" w:type="dxa"/>
            <w:right w:w="108" w:type="dxa"/>
          </w:tblCellMar>
        </w:tblPrEx>
        <w:trPr>
          <w:trHeight w:val="737" w:hRule="atLeast"/>
          <w:jc w:val="center"/>
        </w:trPr>
        <w:tc>
          <w:tcPr>
            <w:tcW w:w="2268" w:type="dxa"/>
            <w:vAlign w:val="bottom"/>
          </w:tcPr>
          <w:p w14:paraId="0BBBECA9">
            <w:pPr>
              <w:spacing w:line="400" w:lineRule="exact"/>
              <w:jc w:val="distribute"/>
              <w:rPr>
                <w:rFonts w:ascii="Times New Roman" w:hAnsi="Times New Roman"/>
                <w:b/>
                <w:color w:val="000000"/>
                <w:sz w:val="30"/>
                <w:szCs w:val="30"/>
              </w:rPr>
            </w:pPr>
            <w:r>
              <w:rPr>
                <w:rFonts w:ascii="Times New Roman" w:hAnsi="Times New Roman"/>
                <w:b/>
                <w:color w:val="000000"/>
                <w:sz w:val="30"/>
                <w:szCs w:val="30"/>
              </w:rPr>
              <w:t>制 修 订：</w:t>
            </w:r>
          </w:p>
        </w:tc>
        <w:tc>
          <w:tcPr>
            <w:tcW w:w="5723" w:type="dxa"/>
            <w:tcBorders>
              <w:top w:val="single" w:color="auto" w:sz="4" w:space="0"/>
              <w:bottom w:val="single" w:color="auto" w:sz="4" w:space="0"/>
            </w:tcBorders>
            <w:vAlign w:val="bottom"/>
          </w:tcPr>
          <w:p w14:paraId="601A0B42">
            <w:pPr>
              <w:tabs>
                <w:tab w:val="left" w:pos="463"/>
              </w:tabs>
              <w:spacing w:line="400" w:lineRule="exact"/>
              <w:ind w:firstLine="300" w:firstLineChars="100"/>
              <w:rPr>
                <w:rFonts w:ascii="Times New Roman" w:hAnsi="Times New Roman" w:eastAsia="仿宋"/>
                <w:bCs/>
                <w:color w:val="000000"/>
                <w:sz w:val="30"/>
                <w:szCs w:val="30"/>
              </w:rPr>
            </w:pPr>
            <w:r>
              <w:rPr>
                <w:rFonts w:hint="eastAsia" w:ascii="Times New Roman" w:hAnsi="Times New Roman" w:eastAsia="仿宋"/>
                <w:bCs/>
                <w:color w:val="000000"/>
                <w:sz w:val="30"/>
                <w:szCs w:val="30"/>
              </w:rPr>
              <w:t>√</w:t>
            </w:r>
            <w:r>
              <w:rPr>
                <w:rFonts w:ascii="Times New Roman" w:hAnsi="Times New Roman" w:eastAsia="仿宋"/>
                <w:bCs/>
                <w:color w:val="000000"/>
                <w:sz w:val="30"/>
                <w:szCs w:val="30"/>
              </w:rPr>
              <w:t xml:space="preserve">制定            </w:t>
            </w:r>
            <w:r>
              <w:rPr>
                <w:rFonts w:ascii="Times New Roman" w:hAnsi="Times New Roman" w:eastAsia="仿宋"/>
                <w:bCs/>
                <w:color w:val="000000"/>
                <w:sz w:val="30"/>
                <w:szCs w:val="30"/>
              </w:rPr>
              <w:sym w:font="Wingdings" w:char="00A8"/>
            </w:r>
            <w:r>
              <w:rPr>
                <w:rFonts w:ascii="Times New Roman" w:hAnsi="Times New Roman" w:eastAsia="仿宋"/>
                <w:bCs/>
                <w:color w:val="000000"/>
                <w:sz w:val="30"/>
                <w:szCs w:val="30"/>
              </w:rPr>
              <w:t>修订</w:t>
            </w:r>
          </w:p>
        </w:tc>
      </w:tr>
      <w:tr w14:paraId="75D29AF4">
        <w:tblPrEx>
          <w:tblCellMar>
            <w:top w:w="0" w:type="dxa"/>
            <w:left w:w="108" w:type="dxa"/>
            <w:bottom w:w="0" w:type="dxa"/>
            <w:right w:w="108" w:type="dxa"/>
          </w:tblCellMar>
        </w:tblPrEx>
        <w:trPr>
          <w:trHeight w:val="737" w:hRule="atLeast"/>
          <w:jc w:val="center"/>
        </w:trPr>
        <w:tc>
          <w:tcPr>
            <w:tcW w:w="2268" w:type="dxa"/>
            <w:vAlign w:val="bottom"/>
          </w:tcPr>
          <w:p w14:paraId="2E859178">
            <w:pPr>
              <w:spacing w:line="400" w:lineRule="exact"/>
              <w:jc w:val="distribute"/>
              <w:rPr>
                <w:rFonts w:ascii="Times New Roman" w:hAnsi="Times New Roman"/>
                <w:b/>
                <w:color w:val="000000"/>
                <w:sz w:val="30"/>
                <w:szCs w:val="30"/>
              </w:rPr>
            </w:pPr>
            <w:r>
              <w:rPr>
                <w:rFonts w:ascii="Times New Roman" w:hAnsi="Times New Roman"/>
                <w:b/>
                <w:color w:val="000000"/>
                <w:sz w:val="30"/>
                <w:szCs w:val="30"/>
              </w:rPr>
              <w:t>负责起草单位：</w:t>
            </w:r>
          </w:p>
        </w:tc>
        <w:tc>
          <w:tcPr>
            <w:tcW w:w="5723" w:type="dxa"/>
            <w:tcBorders>
              <w:top w:val="single" w:color="auto" w:sz="4" w:space="0"/>
              <w:bottom w:val="single" w:color="auto" w:sz="4" w:space="0"/>
            </w:tcBorders>
            <w:vAlign w:val="bottom"/>
          </w:tcPr>
          <w:p w14:paraId="660A2132">
            <w:pPr>
              <w:spacing w:line="400" w:lineRule="exact"/>
              <w:jc w:val="center"/>
              <w:rPr>
                <w:rFonts w:ascii="Times New Roman" w:hAnsi="Times New Roman" w:eastAsia="仿宋"/>
                <w:bCs/>
                <w:color w:val="000000"/>
                <w:sz w:val="30"/>
                <w:szCs w:val="30"/>
              </w:rPr>
            </w:pPr>
            <w:r>
              <w:rPr>
                <w:rFonts w:hint="eastAsia" w:ascii="Times New Roman" w:hAnsi="Times New Roman" w:eastAsia="仿宋"/>
                <w:bCs/>
                <w:color w:val="000000"/>
                <w:sz w:val="30"/>
                <w:szCs w:val="30"/>
              </w:rPr>
              <w:t>中国国家博物馆</w:t>
            </w:r>
          </w:p>
        </w:tc>
      </w:tr>
      <w:tr w14:paraId="6AAD1F25">
        <w:tblPrEx>
          <w:tblCellMar>
            <w:top w:w="0" w:type="dxa"/>
            <w:left w:w="108" w:type="dxa"/>
            <w:bottom w:w="0" w:type="dxa"/>
            <w:right w:w="108" w:type="dxa"/>
          </w:tblCellMar>
        </w:tblPrEx>
        <w:trPr>
          <w:trHeight w:val="737" w:hRule="atLeast"/>
          <w:jc w:val="center"/>
        </w:trPr>
        <w:tc>
          <w:tcPr>
            <w:tcW w:w="2268" w:type="dxa"/>
            <w:vAlign w:val="bottom"/>
          </w:tcPr>
          <w:p w14:paraId="51AAAE9A">
            <w:pPr>
              <w:spacing w:line="400" w:lineRule="exact"/>
              <w:jc w:val="distribute"/>
              <w:rPr>
                <w:rFonts w:ascii="Times New Roman" w:hAnsi="Times New Roman"/>
                <w:b/>
                <w:color w:val="000000"/>
                <w:sz w:val="30"/>
                <w:szCs w:val="30"/>
              </w:rPr>
            </w:pPr>
            <w:r>
              <w:rPr>
                <w:rFonts w:hint="eastAsia" w:ascii="Times New Roman" w:hAnsi="Times New Roman"/>
                <w:b/>
                <w:color w:val="000000"/>
                <w:sz w:val="30"/>
                <w:szCs w:val="30"/>
              </w:rPr>
              <w:t>项目负责人</w:t>
            </w:r>
            <w:r>
              <w:rPr>
                <w:rFonts w:ascii="Times New Roman" w:hAnsi="Times New Roman"/>
                <w:b/>
                <w:color w:val="000000"/>
                <w:sz w:val="30"/>
                <w:szCs w:val="30"/>
              </w:rPr>
              <w:t>：</w:t>
            </w:r>
          </w:p>
        </w:tc>
        <w:tc>
          <w:tcPr>
            <w:tcW w:w="5723" w:type="dxa"/>
            <w:tcBorders>
              <w:top w:val="single" w:color="auto" w:sz="4" w:space="0"/>
              <w:bottom w:val="single" w:color="auto" w:sz="4" w:space="0"/>
            </w:tcBorders>
            <w:vAlign w:val="bottom"/>
          </w:tcPr>
          <w:p w14:paraId="79AF507A">
            <w:pPr>
              <w:spacing w:line="400" w:lineRule="exact"/>
              <w:jc w:val="center"/>
              <w:rPr>
                <w:rFonts w:ascii="Times New Roman" w:hAnsi="Times New Roman" w:eastAsia="仿宋"/>
                <w:bCs/>
                <w:color w:val="000000"/>
                <w:sz w:val="30"/>
                <w:szCs w:val="30"/>
              </w:rPr>
            </w:pPr>
            <w:r>
              <w:rPr>
                <w:rFonts w:hint="eastAsia" w:ascii="Times New Roman" w:hAnsi="Times New Roman" w:eastAsia="仿宋"/>
                <w:bCs/>
                <w:color w:val="000000"/>
                <w:sz w:val="30"/>
                <w:szCs w:val="30"/>
              </w:rPr>
              <w:t>郭丽芬</w:t>
            </w:r>
          </w:p>
        </w:tc>
      </w:tr>
      <w:tr w14:paraId="37C7E649">
        <w:tblPrEx>
          <w:tblCellMar>
            <w:top w:w="0" w:type="dxa"/>
            <w:left w:w="108" w:type="dxa"/>
            <w:bottom w:w="0" w:type="dxa"/>
            <w:right w:w="108" w:type="dxa"/>
          </w:tblCellMar>
        </w:tblPrEx>
        <w:trPr>
          <w:trHeight w:val="751" w:hRule="atLeast"/>
          <w:jc w:val="center"/>
        </w:trPr>
        <w:tc>
          <w:tcPr>
            <w:tcW w:w="2268" w:type="dxa"/>
            <w:vAlign w:val="bottom"/>
          </w:tcPr>
          <w:p w14:paraId="4D41DDC5">
            <w:pPr>
              <w:spacing w:line="400" w:lineRule="exact"/>
              <w:jc w:val="distribute"/>
              <w:rPr>
                <w:rFonts w:ascii="Times New Roman" w:hAnsi="Times New Roman"/>
                <w:b/>
                <w:color w:val="000000"/>
                <w:sz w:val="30"/>
                <w:szCs w:val="30"/>
              </w:rPr>
            </w:pPr>
            <w:r>
              <w:rPr>
                <w:rFonts w:ascii="Times New Roman" w:hAnsi="Times New Roman"/>
                <w:b/>
                <w:color w:val="000000"/>
                <w:sz w:val="30"/>
                <w:szCs w:val="30"/>
              </w:rPr>
              <w:t>编制日期：</w:t>
            </w:r>
          </w:p>
        </w:tc>
        <w:tc>
          <w:tcPr>
            <w:tcW w:w="5723" w:type="dxa"/>
            <w:tcBorders>
              <w:top w:val="single" w:color="auto" w:sz="4" w:space="0"/>
              <w:bottom w:val="single" w:color="auto" w:sz="4" w:space="0"/>
            </w:tcBorders>
            <w:vAlign w:val="bottom"/>
          </w:tcPr>
          <w:p w14:paraId="3E72F87C">
            <w:pPr>
              <w:spacing w:line="400" w:lineRule="exact"/>
              <w:jc w:val="center"/>
              <w:rPr>
                <w:rFonts w:ascii="Times New Roman" w:hAnsi="Times New Roman" w:eastAsia="仿宋"/>
                <w:bCs/>
                <w:color w:val="000000"/>
                <w:sz w:val="30"/>
                <w:szCs w:val="30"/>
                <w:u w:val="single"/>
              </w:rPr>
            </w:pPr>
            <w:r>
              <w:rPr>
                <w:rFonts w:hint="eastAsia" w:ascii="Times New Roman" w:hAnsi="Times New Roman" w:eastAsia="仿宋"/>
                <w:bCs/>
                <w:color w:val="000000"/>
                <w:sz w:val="30"/>
                <w:szCs w:val="30"/>
              </w:rPr>
              <w:t>2026</w:t>
            </w:r>
            <w:r>
              <w:rPr>
                <w:rFonts w:ascii="Times New Roman" w:hAnsi="Times New Roman" w:eastAsia="仿宋"/>
                <w:bCs/>
                <w:color w:val="000000"/>
                <w:sz w:val="30"/>
                <w:szCs w:val="30"/>
              </w:rPr>
              <w:t>年</w:t>
            </w:r>
            <w:r>
              <w:rPr>
                <w:rFonts w:hint="eastAsia" w:ascii="Times New Roman" w:hAnsi="Times New Roman" w:eastAsia="仿宋"/>
                <w:bCs/>
                <w:color w:val="000000"/>
                <w:sz w:val="30"/>
                <w:szCs w:val="30"/>
              </w:rPr>
              <w:t>3</w:t>
            </w:r>
            <w:r>
              <w:rPr>
                <w:rFonts w:ascii="Times New Roman" w:hAnsi="Times New Roman" w:eastAsia="仿宋"/>
                <w:bCs/>
                <w:color w:val="000000"/>
                <w:sz w:val="30"/>
                <w:szCs w:val="30"/>
              </w:rPr>
              <w:t>月</w:t>
            </w:r>
            <w:r>
              <w:rPr>
                <w:rFonts w:hint="eastAsia" w:ascii="Times New Roman" w:hAnsi="Times New Roman" w:eastAsia="仿宋"/>
                <w:bCs/>
                <w:color w:val="000000"/>
                <w:sz w:val="30"/>
                <w:szCs w:val="30"/>
              </w:rPr>
              <w:t>26</w:t>
            </w:r>
            <w:r>
              <w:rPr>
                <w:rFonts w:ascii="Times New Roman" w:hAnsi="Times New Roman" w:eastAsia="仿宋"/>
                <w:bCs/>
                <w:color w:val="000000"/>
                <w:sz w:val="30"/>
                <w:szCs w:val="30"/>
              </w:rPr>
              <w:t>日</w:t>
            </w:r>
          </w:p>
        </w:tc>
      </w:tr>
    </w:tbl>
    <w:p w14:paraId="0C05F4C4">
      <w:pPr>
        <w:jc w:val="center"/>
        <w:rPr>
          <w:rFonts w:ascii="Times New Roman" w:hAnsi="Times New Roman" w:eastAsia="仿宋_GB2312"/>
          <w:color w:val="000000"/>
          <w:sz w:val="28"/>
          <w:szCs w:val="28"/>
        </w:rPr>
      </w:pPr>
    </w:p>
    <w:p w14:paraId="456E1214">
      <w:pPr>
        <w:jc w:val="center"/>
        <w:rPr>
          <w:rFonts w:ascii="Times New Roman" w:hAnsi="Times New Roman" w:eastAsia="仿宋_GB2312"/>
          <w:color w:val="000000"/>
          <w:sz w:val="28"/>
          <w:szCs w:val="28"/>
        </w:rPr>
      </w:pPr>
    </w:p>
    <w:p w14:paraId="03344B75">
      <w:pPr>
        <w:snapToGrid w:val="0"/>
        <w:spacing w:line="360" w:lineRule="auto"/>
        <w:ind w:firstLine="560" w:firstLineChars="200"/>
        <w:rPr>
          <w:rFonts w:ascii="Times New Roman" w:hAnsi="Times New Roman" w:eastAsia="仿宋"/>
          <w:color w:val="000000"/>
          <w:sz w:val="28"/>
          <w:szCs w:val="28"/>
        </w:rPr>
      </w:pPr>
    </w:p>
    <w:p w14:paraId="75C3EDF5">
      <w:pPr>
        <w:widowControl/>
        <w:spacing w:beforeLines="5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br w:type="page"/>
      </w:r>
      <w:r>
        <w:rPr>
          <w:rFonts w:ascii="Times New Roman" w:hAnsi="Times New Roman"/>
          <w:b/>
          <w:bCs/>
          <w:color w:val="000000"/>
          <w:sz w:val="24"/>
          <w:szCs w:val="24"/>
        </w:rPr>
        <w:t>一、</w:t>
      </w:r>
      <w:r>
        <w:rPr>
          <w:rFonts w:ascii="Times New Roman" w:hAnsi="Times New Roman"/>
          <w:b/>
          <w:bCs/>
          <w:color w:val="000000"/>
          <w:kern w:val="0"/>
          <w:sz w:val="24"/>
          <w:szCs w:val="24"/>
          <w:shd w:val="clear" w:color="auto" w:fill="FFFFFF"/>
        </w:rPr>
        <w:t>工作简况</w:t>
      </w:r>
    </w:p>
    <w:p w14:paraId="59ED13AB">
      <w:pPr>
        <w:adjustRightInd w:val="0"/>
        <w:snapToGrid w:val="0"/>
        <w:spacing w:line="360" w:lineRule="auto"/>
        <w:rPr>
          <w:rFonts w:ascii="仿宋_GB2312" w:hAnsi="Times New Roman" w:eastAsia="仿宋_GB2312"/>
          <w:b/>
          <w:color w:val="000000"/>
          <w:sz w:val="24"/>
          <w:szCs w:val="24"/>
        </w:rPr>
      </w:pPr>
      <w:r>
        <w:rPr>
          <w:rFonts w:hint="eastAsia" w:ascii="仿宋_GB2312" w:hAnsi="Times New Roman" w:eastAsia="仿宋_GB2312"/>
          <w:b/>
          <w:color w:val="000000"/>
          <w:sz w:val="24"/>
          <w:szCs w:val="24"/>
        </w:rPr>
        <w:t xml:space="preserve">    （一）任务来源</w:t>
      </w:r>
    </w:p>
    <w:p w14:paraId="23CBF0D9">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2023年10月，国家文物局委托中国国家博物馆牵头承担《博物馆教育服务规范》行业标准的预研编制任务（下称“预研项目”），签订项目合同。中国国家博物馆组织本馆及河南博物院、江西省博物馆等馆的社会教育领域的高级职称专家、高学历且有丰富工作经验的教育人员等成立标准预研起草工作组，经过5轮修改，完成《博物馆教育服务规范》文本草案。该预研项目已于2025年8月顺利结项。</w:t>
      </w:r>
    </w:p>
    <w:p w14:paraId="1D488E5F">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2025年3月，国家文物局科技教育司发布《国家文物局办公室关于开展2025年度国家和行业标准制修订计划项目申报工作的通知》。预研项目负责人积极组织申报。在2023年预研项目的成果基础上，综合研判当前人工智能对博物馆教育发展的影响因素，几经修改，完成《博物馆教育服务规范》草案。2025年8月，成功获得立项，题目改为《博物馆公共文化服务规范  教育服务》，纳入《博物馆公共文化服务规范》系列标准，计划号为</w:t>
      </w:r>
      <w:r>
        <w:rPr>
          <w:rFonts w:ascii="仿宋_GB2312" w:hAnsi="Times New Roman" w:eastAsia="仿宋_GB2312"/>
          <w:color w:val="000000"/>
          <w:sz w:val="24"/>
          <w:szCs w:val="24"/>
        </w:rPr>
        <w:t>WW2025-001-T</w:t>
      </w:r>
      <w:r>
        <w:rPr>
          <w:rFonts w:hint="eastAsia" w:ascii="仿宋_GB2312" w:hAnsi="Times New Roman" w:eastAsia="仿宋_GB2312"/>
          <w:color w:val="000000"/>
          <w:sz w:val="24"/>
          <w:szCs w:val="24"/>
        </w:rPr>
        <w:t>。</w:t>
      </w:r>
    </w:p>
    <w:p w14:paraId="27976E6A">
      <w:pPr>
        <w:adjustRightInd w:val="0"/>
        <w:snapToGrid w:val="0"/>
        <w:spacing w:line="360" w:lineRule="auto"/>
        <w:rPr>
          <w:rFonts w:ascii="仿宋_GB2312" w:hAnsi="Times New Roman" w:eastAsia="仿宋_GB2312"/>
          <w:b/>
          <w:color w:val="000000"/>
          <w:sz w:val="24"/>
          <w:szCs w:val="24"/>
        </w:rPr>
      </w:pPr>
      <w:r>
        <w:rPr>
          <w:rFonts w:hint="eastAsia" w:ascii="仿宋_GB2312" w:hAnsi="Times New Roman" w:eastAsia="仿宋_GB2312"/>
          <w:b/>
          <w:color w:val="000000"/>
          <w:sz w:val="24"/>
          <w:szCs w:val="24"/>
        </w:rPr>
        <w:t xml:space="preserve">    （二）制订背景</w:t>
      </w:r>
    </w:p>
    <w:p w14:paraId="718DD597">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党的十八大以来，在各项文博政策的推动下，“到博物馆去”成为社会新风尚，博物馆已成为社会公众</w:t>
      </w:r>
      <w:r>
        <w:rPr>
          <w:rFonts w:hint="eastAsia" w:ascii="仿宋_GB2312" w:hAnsi="Times New Roman" w:eastAsia="仿宋_GB2312"/>
          <w:color w:val="000000"/>
          <w:sz w:val="24"/>
          <w:szCs w:val="24"/>
          <w:lang w:eastAsia="zh-CN"/>
        </w:rPr>
        <w:t>，尤其</w:t>
      </w:r>
      <w:r>
        <w:rPr>
          <w:rFonts w:hint="eastAsia" w:ascii="仿宋_GB2312" w:hAnsi="Times New Roman" w:eastAsia="仿宋_GB2312"/>
          <w:color w:val="000000"/>
          <w:sz w:val="24"/>
          <w:szCs w:val="24"/>
        </w:rPr>
        <w:t>是青少年群体的重要社会教育场所，博物馆的教育功能越加凸显。但各地博物馆的社会教育服务供给在数量、质量、内容、形式等方面都与公众期待有一定差距，对“博物馆教育服务”基本概念尚未形成统一清晰的认知，存在实践与理论不匹配、行业规范缺失及区域发展不均衡等问题。主要表现在</w:t>
      </w:r>
      <w:bookmarkStart w:id="2" w:name="OLE_LINK2"/>
      <w:bookmarkStart w:id="3" w:name="OLE_LINK1"/>
      <w:r>
        <w:rPr>
          <w:rFonts w:hint="eastAsia" w:ascii="仿宋_GB2312" w:hAnsi="Times New Roman" w:eastAsia="仿宋_GB2312"/>
          <w:color w:val="000000"/>
          <w:sz w:val="24"/>
          <w:szCs w:val="24"/>
        </w:rPr>
        <w:t>分众教育的服务宗旨落实不到位，博物馆在研学旅游中的主导角色缺位，必要资源保障不充分，评价与反馈机制缺失等</w:t>
      </w:r>
      <w:bookmarkEnd w:id="2"/>
      <w:bookmarkEnd w:id="3"/>
      <w:r>
        <w:rPr>
          <w:rFonts w:hint="eastAsia" w:ascii="仿宋_GB2312" w:hAnsi="Times New Roman" w:eastAsia="仿宋_GB2312"/>
          <w:color w:val="000000"/>
          <w:sz w:val="24"/>
          <w:szCs w:val="24"/>
        </w:rPr>
        <w:t>。以上现状限制了博物馆教育的高质量发展，</w:t>
      </w:r>
      <w:r>
        <w:rPr>
          <w:rFonts w:hint="eastAsia" w:ascii="仿宋_GB2312" w:hAnsi="Times New Roman" w:eastAsia="仿宋_GB2312"/>
          <w:color w:val="000000"/>
          <w:sz w:val="24"/>
          <w:szCs w:val="24"/>
          <w:lang w:eastAsia="zh-CN"/>
        </w:rPr>
        <w:t>亟须</w:t>
      </w:r>
      <w:r>
        <w:rPr>
          <w:rFonts w:hint="eastAsia" w:ascii="仿宋_GB2312" w:hAnsi="Times New Roman" w:eastAsia="仿宋_GB2312"/>
          <w:color w:val="000000"/>
          <w:sz w:val="24"/>
          <w:szCs w:val="24"/>
        </w:rPr>
        <w:t>出台可参照的专项行业标准，从系统角度统筹考虑教育服务工作要求与规范，分类分层给出具有可操作性的解决方案和方向指导。</w:t>
      </w:r>
    </w:p>
    <w:p w14:paraId="6249FCB4">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近年来出台的《关于推进博物馆改革发展的指导意见》《“十四五”文物保护和科技创新规划》等多项政策文件也明确要求制定博物馆教育服务标准</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保障博物馆社会教育功能的发挥，推动博物馆高质量发展。</w:t>
      </w:r>
    </w:p>
    <w:p w14:paraId="1B497621">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基于社会形势发展需要、政策落实、公众期待回应等因素，中国国家博物馆牵头，联合河南博物院、浙江自然博物院、江西省博物馆等单位，组成该行业标准的起草工作组（下称“工作组”），积极应对社会发展面临的新变化、新情况，更好助力文化强国建设。</w:t>
      </w:r>
    </w:p>
    <w:p w14:paraId="5FB37010">
      <w:pPr>
        <w:adjustRightInd w:val="0"/>
        <w:snapToGrid w:val="0"/>
        <w:spacing w:line="360" w:lineRule="auto"/>
        <w:rPr>
          <w:rFonts w:ascii="仿宋_GB2312" w:hAnsi="Times New Roman" w:eastAsia="仿宋_GB2312"/>
          <w:b/>
          <w:color w:val="000000"/>
          <w:sz w:val="24"/>
          <w:szCs w:val="24"/>
        </w:rPr>
      </w:pPr>
      <w:r>
        <w:rPr>
          <w:rFonts w:hint="eastAsia" w:ascii="仿宋_GB2312" w:hAnsi="Times New Roman" w:eastAsia="仿宋_GB2312"/>
          <w:b/>
          <w:color w:val="000000"/>
          <w:sz w:val="24"/>
          <w:szCs w:val="24"/>
        </w:rPr>
        <w:t xml:space="preserve">    （三）起草过程</w:t>
      </w:r>
    </w:p>
    <w:p w14:paraId="343A9BD4">
      <w:pPr>
        <w:adjustRightInd w:val="0"/>
        <w:snapToGrid w:val="0"/>
        <w:spacing w:line="360" w:lineRule="auto"/>
        <w:ind w:firstLine="480"/>
        <w:rPr>
          <w:rFonts w:ascii="仿宋_GB2312" w:hAnsi="Times New Roman" w:eastAsia="仿宋_GB2312"/>
          <w:color w:val="000000"/>
          <w:sz w:val="24"/>
          <w:szCs w:val="24"/>
        </w:rPr>
      </w:pPr>
      <w:r>
        <w:rPr>
          <w:rFonts w:hint="eastAsia" w:ascii="仿宋_GB2312" w:hAnsi="Times New Roman" w:eastAsia="仿宋_GB2312"/>
          <w:color w:val="000000"/>
          <w:sz w:val="24"/>
          <w:szCs w:val="24"/>
        </w:rPr>
        <w:t>1.预研阶段（2023年10月</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2025年8月）</w:t>
      </w:r>
    </w:p>
    <w:p w14:paraId="6D0A4CF9">
      <w:pPr>
        <w:adjustRightInd w:val="0"/>
        <w:snapToGrid w:val="0"/>
        <w:spacing w:line="360" w:lineRule="auto"/>
        <w:ind w:firstLine="480"/>
        <w:rPr>
          <w:rFonts w:ascii="仿宋_GB2312" w:hAnsi="Times New Roman" w:eastAsia="仿宋_GB2312"/>
          <w:color w:val="000000"/>
          <w:sz w:val="24"/>
          <w:szCs w:val="24"/>
        </w:rPr>
      </w:pPr>
      <w:r>
        <w:rPr>
          <w:rFonts w:hint="eastAsia" w:ascii="仿宋_GB2312" w:hAnsi="Times New Roman" w:eastAsia="仿宋_GB2312"/>
          <w:color w:val="000000"/>
          <w:sz w:val="24"/>
          <w:szCs w:val="24"/>
        </w:rPr>
        <w:t>2023年10月</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2024年1月，工作组从博物馆教育服务的概念、主体、客体、资源、内容、方法、环节等多个维度设计“博物馆教育服务现状”网络调研问卷，共计41个问题，历时1个多月收回有效问卷233份。</w:t>
      </w:r>
    </w:p>
    <w:p w14:paraId="0DC2AC03">
      <w:pPr>
        <w:adjustRightInd w:val="0"/>
        <w:snapToGrid w:val="0"/>
        <w:spacing w:line="360" w:lineRule="auto"/>
        <w:ind w:firstLine="480"/>
        <w:rPr>
          <w:rFonts w:ascii="仿宋_GB2312" w:hAnsi="Times New Roman" w:eastAsia="仿宋_GB2312"/>
          <w:color w:val="000000"/>
          <w:sz w:val="24"/>
          <w:szCs w:val="24"/>
        </w:rPr>
      </w:pPr>
      <w:r>
        <w:rPr>
          <w:rFonts w:hint="eastAsia" w:ascii="仿宋_GB2312" w:hAnsi="Times New Roman" w:eastAsia="仿宋_GB2312"/>
          <w:color w:val="000000"/>
          <w:sz w:val="24"/>
          <w:szCs w:val="24"/>
        </w:rPr>
        <w:t>2024年2</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5月，工作组基于调研情况，结合学术研究成果及多年实践经验，完成标准草案的大纲拟定、文本编制及讨论修改，主要包括范围、术语与定义、教育服务的总则、组织机构、场所设施、项目类型、项目研发、实施流程、评估等主要技术内容。</w:t>
      </w:r>
    </w:p>
    <w:p w14:paraId="24BCFE69">
      <w:pPr>
        <w:adjustRightInd w:val="0"/>
        <w:snapToGrid w:val="0"/>
        <w:spacing w:line="360" w:lineRule="auto"/>
        <w:ind w:firstLine="480"/>
        <w:rPr>
          <w:rFonts w:ascii="仿宋_GB2312" w:hAnsi="Times New Roman" w:eastAsia="仿宋_GB2312"/>
          <w:color w:val="000000"/>
          <w:sz w:val="24"/>
          <w:szCs w:val="24"/>
        </w:rPr>
      </w:pPr>
      <w:r>
        <w:rPr>
          <w:rFonts w:hint="eastAsia" w:ascii="仿宋_GB2312" w:hAnsi="Times New Roman" w:eastAsia="仿宋_GB2312"/>
          <w:color w:val="000000"/>
          <w:sz w:val="24"/>
          <w:szCs w:val="24"/>
        </w:rPr>
        <w:t>2024年6</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10月，工作组开展了两轮意见征求，第一轮函询了4位博物馆社会教育专家及1位标准研制专家，第二轮函询了14家不同类型博物馆及1位标准研制专家，调整部分结构，删除重复表述，降低定量定性指标，优化标准术语，形成草案修改稿，主要包括总则、服务内容要求、服务研发流程、服务实施流程、服务保障要求、评价与改进等主要技术内容，增加了附录性资料。10月16日，召开现场专家研讨会，对草案修改稿进行充分讨论，形成会议纪要。现场专家一致认为标准文本符合服务类规范的编制要求</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比较全面</w:t>
      </w:r>
      <w:r>
        <w:rPr>
          <w:rFonts w:hint="eastAsia" w:ascii="仿宋_GB2312" w:hAnsi="Times New Roman" w:eastAsia="仿宋_GB2312"/>
          <w:color w:val="000000"/>
          <w:sz w:val="24"/>
          <w:szCs w:val="24"/>
          <w:lang w:eastAsia="zh-CN"/>
        </w:rPr>
        <w:t>反映</w:t>
      </w:r>
      <w:r>
        <w:rPr>
          <w:rFonts w:hint="eastAsia" w:ascii="仿宋_GB2312" w:hAnsi="Times New Roman" w:eastAsia="仿宋_GB2312"/>
          <w:color w:val="000000"/>
          <w:sz w:val="24"/>
          <w:szCs w:val="24"/>
        </w:rPr>
        <w:t>了当下博物馆教育服务的实际情况，并对未来的发展有一定预判，对各级各类博物馆如何进行教育服务的组织、策划、实施、评价与改进等工作有明确的指导意义。同时建议从标准编制的严谨性、规范性、协调一致</w:t>
      </w:r>
      <w:r>
        <w:rPr>
          <w:rFonts w:hint="eastAsia" w:ascii="仿宋_GB2312" w:hAnsi="Times New Roman" w:eastAsia="仿宋_GB2312"/>
          <w:color w:val="000000"/>
          <w:sz w:val="24"/>
          <w:szCs w:val="24"/>
          <w:lang w:eastAsia="zh-CN"/>
        </w:rPr>
        <w:t>性等</w:t>
      </w:r>
      <w:r>
        <w:rPr>
          <w:rFonts w:hint="eastAsia" w:ascii="仿宋_GB2312" w:hAnsi="Times New Roman" w:eastAsia="仿宋_GB2312"/>
          <w:color w:val="000000"/>
          <w:sz w:val="24"/>
          <w:szCs w:val="24"/>
        </w:rPr>
        <w:t>方面进行修改完善。会后，工作组根据专家讨论会意见形成了“博物馆教育服务规范”草案和编制说明修改稿。</w:t>
      </w:r>
    </w:p>
    <w:p w14:paraId="5C2620BC">
      <w:pPr>
        <w:adjustRightInd w:val="0"/>
        <w:snapToGrid w:val="0"/>
        <w:spacing w:line="360" w:lineRule="auto"/>
        <w:ind w:firstLine="480"/>
        <w:rPr>
          <w:rFonts w:ascii="仿宋_GB2312" w:hAnsi="Times New Roman" w:eastAsia="仿宋_GB2312"/>
          <w:color w:val="000000"/>
          <w:sz w:val="24"/>
          <w:szCs w:val="24"/>
        </w:rPr>
      </w:pPr>
      <w:r>
        <w:rPr>
          <w:rFonts w:hint="eastAsia" w:ascii="仿宋_GB2312" w:hAnsi="Times New Roman" w:eastAsia="仿宋_GB2312"/>
          <w:color w:val="000000"/>
          <w:sz w:val="24"/>
          <w:szCs w:val="24"/>
        </w:rPr>
        <w:t>2025年8月，通过国家文物局组织的结项评审。</w:t>
      </w:r>
    </w:p>
    <w:p w14:paraId="77928868">
      <w:pPr>
        <w:adjustRightInd w:val="0"/>
        <w:snapToGrid w:val="0"/>
        <w:spacing w:line="360" w:lineRule="auto"/>
        <w:ind w:firstLine="480"/>
        <w:rPr>
          <w:rFonts w:ascii="仿宋_GB2312" w:hAnsi="Times New Roman" w:eastAsia="仿宋_GB2312"/>
          <w:color w:val="000000"/>
          <w:sz w:val="24"/>
          <w:szCs w:val="24"/>
        </w:rPr>
      </w:pPr>
      <w:r>
        <w:rPr>
          <w:rFonts w:hint="eastAsia" w:ascii="仿宋_GB2312" w:hAnsi="Times New Roman" w:eastAsia="仿宋_GB2312"/>
          <w:color w:val="000000"/>
          <w:sz w:val="24"/>
          <w:szCs w:val="24"/>
        </w:rPr>
        <w:t>2.草案阶段（2025年10月</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2026</w:t>
      </w:r>
      <w:r>
        <w:rPr>
          <w:rFonts w:hint="eastAsia" w:ascii="仿宋_GB2312" w:hAnsi="Times New Roman" w:eastAsia="仿宋_GB2312"/>
          <w:color w:val="000000"/>
          <w:sz w:val="24"/>
          <w:szCs w:val="24"/>
          <w:lang w:eastAsia="zh-CN"/>
        </w:rPr>
        <w:t>年</w:t>
      </w:r>
      <w:r>
        <w:rPr>
          <w:rFonts w:hint="eastAsia" w:ascii="仿宋_GB2312" w:hAnsi="Times New Roman" w:eastAsia="仿宋_GB2312"/>
          <w:color w:val="000000"/>
          <w:sz w:val="24"/>
          <w:szCs w:val="24"/>
        </w:rPr>
        <w:t>3月）</w:t>
      </w:r>
    </w:p>
    <w:p w14:paraId="49CAEBCC">
      <w:pPr>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2025年11月20日，工作组召开第一次全体会议，主要针对标准草案的层次结构、规范性要素构成以及技术内容选取三个方面展开讨论，一致认为本标准草案的层次结构逻辑合理，规范性要素构成较完整全面，技术内容的选取比较清晰严谨。但缺少对证实方法的认识，以及部分条款内容表述还存在问题，如教育项目（活动）名称应统一不加“博物馆”，将“博物馆教育人员”定义中“志愿人员”的表述改为“经过博物馆培训的非专职人员”等。</w:t>
      </w:r>
    </w:p>
    <w:p w14:paraId="37D95F87">
      <w:pPr>
        <w:adjustRightInd w:val="0"/>
        <w:snapToGrid w:val="0"/>
        <w:spacing w:line="360" w:lineRule="auto"/>
        <w:ind w:firstLine="480"/>
        <w:rPr>
          <w:rFonts w:ascii="仿宋_GB2312" w:hAnsi="Times New Roman" w:eastAsia="仿宋_GB2312"/>
          <w:color w:val="000000"/>
          <w:sz w:val="24"/>
          <w:szCs w:val="24"/>
        </w:rPr>
      </w:pPr>
      <w:r>
        <w:rPr>
          <w:rFonts w:hint="eastAsia" w:ascii="仿宋_GB2312" w:hAnsi="Times New Roman" w:eastAsia="仿宋_GB2312"/>
          <w:color w:val="000000"/>
          <w:sz w:val="24"/>
          <w:szCs w:val="24"/>
        </w:rPr>
        <w:t>2025年12月3日，工作组修改完成《博物馆公共文化服务规范 教育服务》草案。12月11日工作组召开会议对草案进行讨论，逐条论证标准内容，经工作组成员充分讨论，对目前草案的大体内容基本赞同，并对部分内容做出调整。第一，</w:t>
      </w:r>
      <w:r>
        <w:rPr>
          <w:rFonts w:hint="eastAsia" w:ascii="仿宋_GB2312" w:hAnsi="Times New Roman" w:eastAsia="仿宋_GB2312"/>
          <w:sz w:val="24"/>
          <w:szCs w:val="24"/>
        </w:rPr>
        <w:t>根据2025年5月19日实施的《研学旅游服务要求》（LB/T 054-2025）和《研学旅游课程与线路设计指南》</w:t>
      </w:r>
      <w:r>
        <w:rPr>
          <w:rFonts w:hint="eastAsia" w:ascii="仿宋_GB2312" w:hAnsi="Times New Roman" w:eastAsia="仿宋_GB2312"/>
          <w:sz w:val="24"/>
          <w:szCs w:val="24"/>
          <w:lang w:eastAsia="zh-CN"/>
        </w:rPr>
        <w:t>（</w:t>
      </w:r>
      <w:r>
        <w:rPr>
          <w:rFonts w:hint="eastAsia" w:ascii="仿宋_GB2312" w:hAnsi="Times New Roman" w:eastAsia="仿宋_GB2312"/>
          <w:sz w:val="24"/>
          <w:szCs w:val="24"/>
        </w:rPr>
        <w:t>LB/T 092-2025</w:t>
      </w:r>
      <w:r>
        <w:rPr>
          <w:rFonts w:hint="eastAsia" w:ascii="仿宋_GB2312" w:hAnsi="Times New Roman" w:eastAsia="仿宋_GB2312"/>
          <w:sz w:val="24"/>
          <w:szCs w:val="24"/>
          <w:lang w:eastAsia="zh-CN"/>
        </w:rPr>
        <w:t>）</w:t>
      </w:r>
      <w:r>
        <w:rPr>
          <w:rFonts w:hint="eastAsia" w:ascii="仿宋_GB2312" w:hAnsi="Times New Roman" w:eastAsia="仿宋_GB2312"/>
          <w:sz w:val="24"/>
          <w:szCs w:val="24"/>
        </w:rPr>
        <w:t>的相关内容，将“研学旅行”改为“研学旅游”，并对定义和要求</w:t>
      </w:r>
      <w:r>
        <w:rPr>
          <w:rFonts w:hint="eastAsia" w:ascii="仿宋_GB2312" w:hAnsi="Times New Roman" w:eastAsia="仿宋_GB2312"/>
          <w:sz w:val="24"/>
          <w:szCs w:val="24"/>
          <w:lang w:eastAsia="zh-CN"/>
        </w:rPr>
        <w:t>作出</w:t>
      </w:r>
      <w:r>
        <w:rPr>
          <w:rFonts w:hint="eastAsia" w:ascii="仿宋_GB2312" w:hAnsi="Times New Roman" w:eastAsia="仿宋_GB2312"/>
          <w:sz w:val="24"/>
          <w:szCs w:val="24"/>
        </w:rPr>
        <w:t>修改</w:t>
      </w:r>
      <w:r>
        <w:rPr>
          <w:rFonts w:hint="eastAsia" w:ascii="仿宋_GB2312" w:hAnsi="Times New Roman" w:eastAsia="仿宋_GB2312"/>
          <w:color w:val="000000"/>
          <w:sz w:val="24"/>
          <w:szCs w:val="24"/>
        </w:rPr>
        <w:t>。第二，优化内容的一致性、合理性与示范性。例如，“体验项目”中删除“自主”的限定，以涵盖更广泛的活动类型。“教育课程”中的“课程时长”定量表述由“应”改为“宜”，时长定为“不少于1课时（每课时45分钟）”，同时补充相关政策文件作为参考依据。</w:t>
      </w:r>
    </w:p>
    <w:p w14:paraId="656C25DD">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2026年1月21日，工作组召开第三次会议，讨论内审会材料。工作组对根据上次会议意见修改形成的标准征求意见稿表示大体认可，并完善相关表述；对编制说明表示认可；建议在征求意见对象名单中增加协会团体、标准编制专家。</w:t>
      </w:r>
    </w:p>
    <w:p w14:paraId="5B6487B9">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2026年3月20日，工作组在国家博物馆召开内审会，与会专家逐字逐句审阅征求意见稿、编制说明及征求意见对象名单。经质询与讨论，与会专家一致认为征求意见稿的编制符合GB/TT 1.1—2020相关要求，对象目标明确，内容全面合理、逻辑层次比较清晰、依据比较充分、用词基本严谨、格式基本规范，具有广泛的适用性、可操作性及较强的科学性、先进性，可为博物馆教育服务的高质量发展提供有力技术支撑；编制说明内容较为完整、</w:t>
      </w:r>
      <w:r>
        <w:rPr>
          <w:rFonts w:hint="eastAsia" w:ascii="仿宋_GB2312" w:hAnsi="Times New Roman" w:eastAsia="仿宋_GB2312"/>
          <w:color w:val="000000"/>
          <w:sz w:val="24"/>
          <w:szCs w:val="24"/>
          <w:lang w:eastAsia="zh-CN"/>
        </w:rPr>
        <w:t>翔实</w:t>
      </w:r>
      <w:r>
        <w:rPr>
          <w:rFonts w:hint="eastAsia" w:ascii="仿宋_GB2312" w:hAnsi="Times New Roman" w:eastAsia="仿宋_GB2312"/>
          <w:color w:val="000000"/>
          <w:sz w:val="24"/>
          <w:szCs w:val="24"/>
        </w:rPr>
        <w:t>，没有缺项、漏项；征求意见对象名单</w:t>
      </w:r>
      <w:r>
        <w:rPr>
          <w:rFonts w:ascii="仿宋_GB2312" w:hAnsi="Times New Roman" w:eastAsia="仿宋_GB2312"/>
          <w:color w:val="000000"/>
          <w:sz w:val="24"/>
          <w:szCs w:val="24"/>
        </w:rPr>
        <w:t>具</w:t>
      </w:r>
      <w:r>
        <w:rPr>
          <w:rFonts w:hint="eastAsia" w:ascii="仿宋_GB2312" w:hAnsi="Times New Roman" w:eastAsia="仿宋_GB2312"/>
          <w:color w:val="000000"/>
          <w:sz w:val="24"/>
          <w:szCs w:val="24"/>
        </w:rPr>
        <w:t>有</w:t>
      </w:r>
      <w:r>
        <w:rPr>
          <w:rFonts w:ascii="仿宋_GB2312" w:hAnsi="Times New Roman" w:eastAsia="仿宋_GB2312"/>
          <w:color w:val="000000"/>
          <w:sz w:val="24"/>
          <w:szCs w:val="24"/>
        </w:rPr>
        <w:t>广泛性、代表性，未回避重要利益相关方</w:t>
      </w:r>
      <w:r>
        <w:rPr>
          <w:rFonts w:hint="eastAsia" w:ascii="仿宋_GB2312" w:hAnsi="Times New Roman" w:eastAsia="仿宋_GB2312"/>
          <w:color w:val="000000"/>
          <w:sz w:val="24"/>
          <w:szCs w:val="24"/>
        </w:rPr>
        <w:t>。但建议将名称调整为《博物馆公共文化服务 教育服务规范》，与《博物馆公共文化服务 通用要求》标准协调一致；将原第7章“服务保障”改成“服务资源”并调整到第6章，原第6章“研发与实施”调整至第7章；进一步修改文字的规范化、严谨性表述，删除可操作性不强的定量指标；进一步完善编制说明中关于实验验证的分析。与会专家一致同意通过该标准的内审会审查，工作组根据会议提出的意见修改完善后，进入征求意见阶段。</w:t>
      </w:r>
    </w:p>
    <w:p w14:paraId="49B5E9CC">
      <w:pPr>
        <w:adjustRightInd w:val="0"/>
        <w:snapToGrid w:val="0"/>
        <w:spacing w:line="360" w:lineRule="auto"/>
        <w:ind w:firstLine="482" w:firstLineChars="200"/>
        <w:rPr>
          <w:rFonts w:ascii="仿宋_GB2312" w:hAnsi="Times New Roman" w:eastAsia="仿宋_GB2312"/>
          <w:b/>
          <w:color w:val="000000"/>
          <w:sz w:val="24"/>
          <w:szCs w:val="24"/>
        </w:rPr>
      </w:pPr>
      <w:r>
        <w:rPr>
          <w:rFonts w:hint="eastAsia" w:ascii="仿宋_GB2312" w:hAnsi="Times New Roman" w:eastAsia="仿宋_GB2312"/>
          <w:b/>
          <w:color w:val="000000"/>
          <w:sz w:val="24"/>
          <w:szCs w:val="24"/>
        </w:rPr>
        <w:t>（四）主要起草人所做的工作</w:t>
      </w:r>
    </w:p>
    <w:p w14:paraId="01FAA6A7">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本项目负责人郭丽芬主要负责“博物馆公共文化服务  教育服务规范”工作组的人员组建及分工、项目会议组织、标准的内容框架确定、文本主要内容撰写及整体修改完善、编制说明的修改等工作。组内其他人员按任务分工参与完成了标准草案、征求意见稿及编制说明的部分编写。</w:t>
      </w:r>
    </w:p>
    <w:tbl>
      <w:tblPr>
        <w:tblStyle w:val="10"/>
        <w:tblW w:w="0" w:type="auto"/>
        <w:tblInd w:w="41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541"/>
        <w:gridCol w:w="2541"/>
        <w:gridCol w:w="3815"/>
      </w:tblGrid>
      <w:tr w14:paraId="46656F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41" w:type="dxa"/>
          </w:tcPr>
          <w:p w14:paraId="44D01CB1">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姓名</w:t>
            </w:r>
          </w:p>
        </w:tc>
        <w:tc>
          <w:tcPr>
            <w:tcW w:w="2541" w:type="dxa"/>
          </w:tcPr>
          <w:p w14:paraId="5C161547">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单位</w:t>
            </w:r>
          </w:p>
        </w:tc>
        <w:tc>
          <w:tcPr>
            <w:tcW w:w="3815" w:type="dxa"/>
          </w:tcPr>
          <w:p w14:paraId="11145254">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承担任务</w:t>
            </w:r>
          </w:p>
        </w:tc>
      </w:tr>
      <w:tr w14:paraId="0A54E7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41" w:type="dxa"/>
          </w:tcPr>
          <w:p w14:paraId="53D86584">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郭丽芬</w:t>
            </w:r>
          </w:p>
        </w:tc>
        <w:tc>
          <w:tcPr>
            <w:tcW w:w="2541" w:type="dxa"/>
          </w:tcPr>
          <w:p w14:paraId="1F590A8F">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国家博物馆</w:t>
            </w:r>
          </w:p>
        </w:tc>
        <w:tc>
          <w:tcPr>
            <w:tcW w:w="3815" w:type="dxa"/>
          </w:tcPr>
          <w:p w14:paraId="22B2F104">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主要技术内容执笔、总体协调把关</w:t>
            </w:r>
          </w:p>
        </w:tc>
      </w:tr>
      <w:tr w14:paraId="41EA457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41" w:type="dxa"/>
          </w:tcPr>
          <w:p w14:paraId="291756A0">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周靖程、梅松松</w:t>
            </w:r>
          </w:p>
        </w:tc>
        <w:tc>
          <w:tcPr>
            <w:tcW w:w="2541" w:type="dxa"/>
          </w:tcPr>
          <w:p w14:paraId="2C631FEE">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国家博物馆</w:t>
            </w:r>
          </w:p>
        </w:tc>
        <w:tc>
          <w:tcPr>
            <w:tcW w:w="3815" w:type="dxa"/>
          </w:tcPr>
          <w:p w14:paraId="430D0806">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协助总体把关</w:t>
            </w:r>
          </w:p>
        </w:tc>
      </w:tr>
      <w:tr w14:paraId="41CBE3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41" w:type="dxa"/>
          </w:tcPr>
          <w:p w14:paraId="5F2FF305">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兰国英</w:t>
            </w:r>
          </w:p>
        </w:tc>
        <w:tc>
          <w:tcPr>
            <w:tcW w:w="2541" w:type="dxa"/>
          </w:tcPr>
          <w:p w14:paraId="3C53C2BB">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浙江自然博物院</w:t>
            </w:r>
          </w:p>
        </w:tc>
        <w:tc>
          <w:tcPr>
            <w:tcW w:w="3815" w:type="dxa"/>
          </w:tcPr>
          <w:p w14:paraId="6ABE2636">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协助总体把关</w:t>
            </w:r>
          </w:p>
        </w:tc>
      </w:tr>
      <w:tr w14:paraId="53A9BCA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41" w:type="dxa"/>
          </w:tcPr>
          <w:p w14:paraId="0500F098">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林晓平</w:t>
            </w:r>
          </w:p>
        </w:tc>
        <w:tc>
          <w:tcPr>
            <w:tcW w:w="2541" w:type="dxa"/>
          </w:tcPr>
          <w:p w14:paraId="5D0607A5">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河南博物院</w:t>
            </w:r>
          </w:p>
        </w:tc>
        <w:tc>
          <w:tcPr>
            <w:tcW w:w="3815" w:type="dxa"/>
          </w:tcPr>
          <w:p w14:paraId="7F4FDC0A">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协助总体把关</w:t>
            </w:r>
          </w:p>
        </w:tc>
      </w:tr>
      <w:tr w14:paraId="4C996C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41" w:type="dxa"/>
          </w:tcPr>
          <w:p w14:paraId="1EE150B6">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娄慧莹</w:t>
            </w:r>
          </w:p>
        </w:tc>
        <w:tc>
          <w:tcPr>
            <w:tcW w:w="2541" w:type="dxa"/>
          </w:tcPr>
          <w:p w14:paraId="1AFF4A0E">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江西省博物馆</w:t>
            </w:r>
          </w:p>
        </w:tc>
        <w:tc>
          <w:tcPr>
            <w:tcW w:w="3815" w:type="dxa"/>
          </w:tcPr>
          <w:p w14:paraId="0AE7C5CE">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协助总体把关</w:t>
            </w:r>
          </w:p>
        </w:tc>
      </w:tr>
      <w:tr w14:paraId="31C588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41" w:type="dxa"/>
          </w:tcPr>
          <w:p w14:paraId="459E4332">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刘林琳</w:t>
            </w:r>
          </w:p>
        </w:tc>
        <w:tc>
          <w:tcPr>
            <w:tcW w:w="2541" w:type="dxa"/>
          </w:tcPr>
          <w:p w14:paraId="6860BCD0">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国家博物馆</w:t>
            </w:r>
          </w:p>
        </w:tc>
        <w:tc>
          <w:tcPr>
            <w:tcW w:w="3815" w:type="dxa"/>
          </w:tcPr>
          <w:p w14:paraId="14A3013D">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第4、5章执笔、协助总体把关</w:t>
            </w:r>
          </w:p>
        </w:tc>
      </w:tr>
      <w:tr w14:paraId="4EF535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41" w:type="dxa"/>
          </w:tcPr>
          <w:p w14:paraId="6C7DFBE7">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段丽彬、赵梦阳</w:t>
            </w:r>
          </w:p>
        </w:tc>
        <w:tc>
          <w:tcPr>
            <w:tcW w:w="2541" w:type="dxa"/>
          </w:tcPr>
          <w:p w14:paraId="1915CF6F">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国家博物馆</w:t>
            </w:r>
          </w:p>
        </w:tc>
        <w:tc>
          <w:tcPr>
            <w:tcW w:w="3815" w:type="dxa"/>
          </w:tcPr>
          <w:p w14:paraId="7BA170E2">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第6章执笔</w:t>
            </w:r>
          </w:p>
        </w:tc>
      </w:tr>
      <w:tr w14:paraId="0FD378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41" w:type="dxa"/>
          </w:tcPr>
          <w:p w14:paraId="57FA232E">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刘京、赵悦、黄宋</w:t>
            </w:r>
          </w:p>
        </w:tc>
        <w:tc>
          <w:tcPr>
            <w:tcW w:w="2541" w:type="dxa"/>
          </w:tcPr>
          <w:p w14:paraId="36198B9A">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国家博物馆</w:t>
            </w:r>
          </w:p>
        </w:tc>
        <w:tc>
          <w:tcPr>
            <w:tcW w:w="3815" w:type="dxa"/>
          </w:tcPr>
          <w:p w14:paraId="2B91549B">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第7章执笔</w:t>
            </w:r>
          </w:p>
        </w:tc>
      </w:tr>
      <w:tr w14:paraId="669001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41" w:type="dxa"/>
          </w:tcPr>
          <w:p w14:paraId="2A5A4FB7">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杨小燕、刘钰婷</w:t>
            </w:r>
          </w:p>
        </w:tc>
        <w:tc>
          <w:tcPr>
            <w:tcW w:w="2541" w:type="dxa"/>
          </w:tcPr>
          <w:p w14:paraId="1377D8A7">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国家博物馆</w:t>
            </w:r>
          </w:p>
        </w:tc>
        <w:tc>
          <w:tcPr>
            <w:tcW w:w="3815" w:type="dxa"/>
          </w:tcPr>
          <w:p w14:paraId="07CB8E8C">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第8章执笔，协助总体把关</w:t>
            </w:r>
          </w:p>
        </w:tc>
      </w:tr>
      <w:tr w14:paraId="6AEF1E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41" w:type="dxa"/>
          </w:tcPr>
          <w:p w14:paraId="73AB1E59">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王晓慧</w:t>
            </w:r>
          </w:p>
        </w:tc>
        <w:tc>
          <w:tcPr>
            <w:tcW w:w="2541" w:type="dxa"/>
          </w:tcPr>
          <w:p w14:paraId="5E26E99C">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国家博物馆</w:t>
            </w:r>
          </w:p>
        </w:tc>
        <w:tc>
          <w:tcPr>
            <w:tcW w:w="3815" w:type="dxa"/>
          </w:tcPr>
          <w:p w14:paraId="38C7C296">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财务管理、协助项目推进</w:t>
            </w:r>
          </w:p>
        </w:tc>
      </w:tr>
    </w:tbl>
    <w:p w14:paraId="264D20E5">
      <w:pPr>
        <w:adjustRightInd w:val="0"/>
        <w:snapToGrid w:val="0"/>
        <w:spacing w:line="360" w:lineRule="auto"/>
        <w:ind w:firstLine="480" w:firstLineChars="200"/>
        <w:rPr>
          <w:rFonts w:ascii="仿宋_GB2312" w:hAnsi="Times New Roman" w:eastAsia="仿宋_GB2312"/>
          <w:color w:val="000000"/>
          <w:sz w:val="24"/>
          <w:szCs w:val="24"/>
        </w:rPr>
      </w:pPr>
    </w:p>
    <w:p w14:paraId="6D88B541">
      <w:pPr>
        <w:widowControl/>
        <w:spacing w:beforeLines="50" w:afterLines="50" w:line="400" w:lineRule="exact"/>
        <w:ind w:firstLine="482" w:firstLineChars="200"/>
        <w:rPr>
          <w:rFonts w:ascii="Times New Roman" w:hAnsi="Times New Roman"/>
          <w:b/>
          <w:bCs/>
          <w:color w:val="000000"/>
          <w:sz w:val="24"/>
          <w:szCs w:val="24"/>
          <w:highlight w:val="yellow"/>
        </w:rPr>
      </w:pPr>
      <w:r>
        <w:rPr>
          <w:rFonts w:ascii="Times New Roman" w:hAnsi="Times New Roman"/>
          <w:b/>
          <w:bCs/>
          <w:color w:val="000000"/>
          <w:sz w:val="24"/>
          <w:szCs w:val="24"/>
        </w:rPr>
        <w:t>二、</w:t>
      </w:r>
      <w:r>
        <w:rPr>
          <w:rFonts w:hint="eastAsia" w:ascii="Times New Roman" w:hAnsi="Times New Roman"/>
          <w:b/>
          <w:bCs/>
          <w:color w:val="000000"/>
          <w:sz w:val="24"/>
          <w:szCs w:val="24"/>
        </w:rPr>
        <w:t>标准编制原则、主要内容及其确定依据</w:t>
      </w:r>
    </w:p>
    <w:p w14:paraId="31D27AF2">
      <w:pPr>
        <w:adjustRightInd w:val="0"/>
        <w:snapToGrid w:val="0"/>
        <w:spacing w:line="360" w:lineRule="auto"/>
        <w:ind w:firstLine="482" w:firstLineChars="200"/>
        <w:rPr>
          <w:rFonts w:ascii="仿宋_GB2312" w:hAnsi="Times New Roman" w:eastAsia="仿宋_GB2312"/>
          <w:b/>
          <w:color w:val="000000"/>
          <w:sz w:val="24"/>
          <w:szCs w:val="24"/>
        </w:rPr>
      </w:pPr>
      <w:r>
        <w:rPr>
          <w:rFonts w:ascii="仿宋_GB2312" w:hAnsi="Times New Roman" w:eastAsia="仿宋_GB2312"/>
          <w:b/>
          <w:color w:val="000000"/>
          <w:sz w:val="24"/>
          <w:szCs w:val="24"/>
        </w:rPr>
        <w:t>（一）标准编制原则</w:t>
      </w:r>
    </w:p>
    <w:p w14:paraId="7EF3F36D">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1.规范性原则</w:t>
      </w:r>
    </w:p>
    <w:p w14:paraId="34C3BBB6">
      <w:pPr>
        <w:spacing w:line="360" w:lineRule="auto"/>
        <w:ind w:firstLine="480"/>
        <w:rPr>
          <w:rFonts w:ascii="仿宋_GB2312" w:hAnsi="Times New Roman" w:eastAsia="仿宋_GB2312"/>
          <w:color w:val="000000"/>
          <w:sz w:val="24"/>
          <w:szCs w:val="24"/>
        </w:rPr>
      </w:pPr>
      <w:r>
        <w:rPr>
          <w:rFonts w:hint="eastAsia" w:ascii="仿宋_GB2312" w:hAnsi="Times New Roman" w:eastAsia="仿宋_GB2312"/>
          <w:color w:val="000000"/>
          <w:sz w:val="24"/>
          <w:szCs w:val="24"/>
        </w:rPr>
        <w:t>本标准在编制过程中按照GB/T 1.1－2020《标准化工作导则 第1部分：标准化文件的结构和起草规则》的要求和规定，确定标准的组成要素、内容框架；遵循统一、简化、协调和最优化等标准化基本原理，撰写标准的条款内容。</w:t>
      </w:r>
    </w:p>
    <w:p w14:paraId="482A4EC2">
      <w:pPr>
        <w:spacing w:line="360" w:lineRule="auto"/>
        <w:ind w:firstLine="480"/>
        <w:rPr>
          <w:rFonts w:ascii="仿宋_GB2312" w:hAnsi="Times New Roman" w:eastAsia="仿宋_GB2312"/>
          <w:color w:val="000000"/>
          <w:sz w:val="24"/>
          <w:szCs w:val="24"/>
        </w:rPr>
      </w:pPr>
      <w:r>
        <w:rPr>
          <w:rFonts w:hint="eastAsia" w:ascii="仿宋_GB2312" w:hAnsi="Times New Roman" w:eastAsia="仿宋_GB2312"/>
          <w:color w:val="000000"/>
          <w:sz w:val="24"/>
          <w:szCs w:val="24"/>
        </w:rPr>
        <w:t>根据服务类规范的要素要求，本规范需明确列出证实方法，参照已发布的规范将“评价与改进”章节作为“证实方法”。评价是证实的核心，在附录C中可以体现本规范的证实</w:t>
      </w:r>
      <w:r>
        <w:rPr>
          <w:rFonts w:hint="eastAsia" w:ascii="仿宋_GB2312" w:hAnsi="Times New Roman" w:eastAsia="仿宋_GB2312"/>
          <w:sz w:val="24"/>
          <w:szCs w:val="24"/>
        </w:rPr>
        <w:t>包括对教育服务内容、实施准备、实施过程、实施结果、反馈与改进等检验和优化教育服务规范有效实施方法的完整闭环。</w:t>
      </w:r>
    </w:p>
    <w:p w14:paraId="231B94A6">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2.先进性原则</w:t>
      </w:r>
    </w:p>
    <w:p w14:paraId="258B5BCC">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本标准在编制过程中，密切关注行业发展动态及政策发布情况，并采用网络调研、线上咨询、电话沟通等方式，调研国内外博物馆教育服务的开展情况和实践案例，对相关内容做出修改更新；咨询了涵盖博物馆主管部门、博物馆学专家、各类型博物馆教育从业人员、社教专委会成员、标准编制专家等多方意见，同时从中国博物馆教育服务的快速发展趋势和行业需求综合考虑。在此基础上，制定了包括“基本原则”“服务内容”“服务资源”“研发与实施”“评价与改进”等方面的规范，基于引领行业发展要求提出了一些前瞻性、先进性条款，起到引领示范的作用。</w:t>
      </w:r>
    </w:p>
    <w:p w14:paraId="5ED7C64C">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首先，“术语与定义”部分，基于预研发现的行业内认知差异，给出必要且清晰的术语与定义陈述，更</w:t>
      </w:r>
      <w:r>
        <w:rPr>
          <w:rFonts w:hint="eastAsia" w:ascii="仿宋_GB2312" w:hAnsi="Times New Roman" w:eastAsia="仿宋_GB2312"/>
          <w:color w:val="000000"/>
          <w:sz w:val="24"/>
          <w:szCs w:val="24"/>
          <w:lang w:eastAsia="zh-CN"/>
        </w:rPr>
        <w:t>好地</w:t>
      </w:r>
      <w:r>
        <w:rPr>
          <w:rFonts w:hint="eastAsia" w:ascii="仿宋_GB2312" w:hAnsi="Times New Roman" w:eastAsia="仿宋_GB2312"/>
          <w:color w:val="000000"/>
          <w:sz w:val="24"/>
          <w:szCs w:val="24"/>
        </w:rPr>
        <w:t>指导教育服务</w:t>
      </w:r>
      <w:r>
        <w:rPr>
          <w:rFonts w:hint="eastAsia" w:ascii="仿宋_GB2312" w:hAnsi="Times New Roman" w:eastAsia="仿宋_GB2312"/>
          <w:color w:val="000000"/>
          <w:sz w:val="24"/>
          <w:szCs w:val="24"/>
          <w:lang w:eastAsia="zh-CN"/>
        </w:rPr>
        <w:t>工作的开展</w:t>
      </w:r>
      <w:r>
        <w:rPr>
          <w:rFonts w:hint="eastAsia" w:ascii="仿宋_GB2312" w:hAnsi="Times New Roman" w:eastAsia="仿宋_GB2312"/>
          <w:color w:val="000000"/>
          <w:sz w:val="24"/>
          <w:szCs w:val="24"/>
        </w:rPr>
        <w:t>。如不仅给出博物馆“研学旅游”的定义，还以注释方式补充“博物馆研学”的定义，通过对比区分，让博物馆研学旅游定义更明晰。</w:t>
      </w:r>
    </w:p>
    <w:p w14:paraId="5219D54C">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其次，“基本原则”部分，明确提出博物馆教育服务要遵循分众性、包容性、创新性、便利性、开放性等原则。</w:t>
      </w:r>
    </w:p>
    <w:p w14:paraId="54BDC60F">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第三，“服务内容”部分，总结囊括了博物馆教育服务的所有类型，并进行逐项分析，尤其是对“研学旅游”“体验项目”“智慧教育”“赛事”“展演”“展览”等类型的分析属于首创。如彰显教育展览与常规展览的区别，突出教育人员的主体性、明确以教育探索任务为线索、强调互动参与等特性。</w:t>
      </w:r>
    </w:p>
    <w:p w14:paraId="6A396E51">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最后，“服务资源”部分，从博物馆组织层面首次明确规范了教育服务职能部门的设置要求与职责，明确了教育人员的基本要求与培训、考核要求，以及人员配置比例。</w:t>
      </w:r>
    </w:p>
    <w:p w14:paraId="25C99F28">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3.可操作性原则</w:t>
      </w:r>
    </w:p>
    <w:p w14:paraId="64733EDC">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博物馆教育服务的质效与观众满意度很大程度上取决于教育服务内容的质量把控及服务流程的规范。本标准在编制过</w:t>
      </w:r>
      <w:r>
        <w:rPr>
          <w:rFonts w:hint="eastAsia" w:ascii="仿宋_GB2312" w:hAnsi="Times New Roman" w:eastAsia="仿宋_GB2312"/>
          <w:color w:val="000000"/>
          <w:sz w:val="24"/>
          <w:szCs w:val="24"/>
          <w:lang w:eastAsia="zh-CN"/>
        </w:rPr>
        <w:t>程中，</w:t>
      </w:r>
      <w:r>
        <w:rPr>
          <w:rFonts w:hint="eastAsia" w:ascii="仿宋_GB2312" w:hAnsi="Times New Roman" w:eastAsia="仿宋_GB2312"/>
          <w:color w:val="000000"/>
          <w:sz w:val="24"/>
          <w:szCs w:val="24"/>
        </w:rPr>
        <w:t>对涉及教育服务质量评价及服务流程进行系统梳理，列出可参照执行的具体条款。</w:t>
      </w:r>
    </w:p>
    <w:p w14:paraId="7B5696C3">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首先，“研发与实施”部分，对教育服务的内容研发及组织实施的全流程工作进行了概括总结，列出了各环节的具体要求。例如，“教育服务策划方案”应包括教育项目（活动）的内容简介、目标、受众群体（教育对象）、时长、实施流程、宣传、评价与反馈等内容。</w:t>
      </w:r>
    </w:p>
    <w:p w14:paraId="47D61F7F">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其次，“评价与改进”部分，从博物馆自我评价与社会公众评价两个维度，及教育服务整体与具体项目两个层面对教育服务开展评价，列出细化要求，并提供了相应的评价表作为参考，对博物馆教育服务的不断改进完善进行规范引导。</w:t>
      </w:r>
    </w:p>
    <w:p w14:paraId="0C618C34">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4.适用性原则</w:t>
      </w:r>
    </w:p>
    <w:p w14:paraId="1E415F55">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我国各地博物馆教育服务的发展状况存在明显地区差异。从调研来看，经济发达地区、文物资源丰富的省市级博物馆大多开展类型丰富的教育服务，也都有各自的工作规章；但经济不发达地区、文物资源匮乏的中小博物馆开展的教育服务相对较少，甚至没有专门的组织机构、教育场所、资金、人员等资源配置。另一方面，各类型的博物馆开展教育服务的情况也不尽相同。基于这种差异化发展现状，本标准在编制过程中，综合考虑综合类、历史类、纪念类、遗址类、艺术类、民族类、自然类、科技类等各类博物馆的不同特点，以及当前各地博物馆教育服务的实际实施情况，进行内容编制，用“应</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宜</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可”等规范用语，列出基本要求和推荐要求，区分基础指标与发展指标，保证本标准的适用性和科学性。例如，教育人员与受众配比列出了最低量化指标；教育人员的培训区分不同阶段的培训内容；内部自评表针对不同条件的博物馆设置阶梯分值指标，还专门列出附加项，作为引领资源条件较好的博物馆的发展指标。</w:t>
      </w:r>
    </w:p>
    <w:p w14:paraId="1842F420">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5.协调性原则    </w:t>
      </w:r>
    </w:p>
    <w:p w14:paraId="09634BC6">
      <w:pPr>
        <w:adjustRightInd w:val="0"/>
        <w:snapToGrid w:val="0"/>
        <w:spacing w:line="360" w:lineRule="auto"/>
        <w:ind w:firstLine="480" w:firstLineChars="200"/>
        <w:rPr>
          <w:rFonts w:ascii="仿宋_GB2312" w:hAnsi="Times New Roman" w:eastAsia="仿宋_GB2312"/>
          <w:color w:val="000000"/>
          <w:sz w:val="24"/>
          <w:szCs w:val="24"/>
          <w:highlight w:val="yellow"/>
        </w:rPr>
      </w:pPr>
      <w:r>
        <w:rPr>
          <w:rFonts w:hint="eastAsia" w:ascii="仿宋_GB2312" w:hAnsi="Times New Roman" w:eastAsia="仿宋_GB2312"/>
          <w:color w:val="000000"/>
          <w:sz w:val="24"/>
          <w:szCs w:val="24"/>
        </w:rPr>
        <w:t>本标准在编制过程中全面了解掌握当前文博领域颁布施行的相关国家法律法规、政策文件及强制性标准、基础通用标准等，依据或参照相关内容进行编制，保证本标准内容与现行法律法规、政策文件及国家强制性标准的协调一致性。</w:t>
      </w:r>
    </w:p>
    <w:p w14:paraId="6D9473F7">
      <w:pPr>
        <w:adjustRightInd w:val="0"/>
        <w:snapToGrid w:val="0"/>
        <w:spacing w:line="360" w:lineRule="auto"/>
        <w:ind w:firstLine="482" w:firstLineChars="200"/>
        <w:rPr>
          <w:rFonts w:ascii="Times New Roman" w:hAnsi="Times New Roman"/>
          <w:b/>
          <w:bCs/>
          <w:color w:val="000000"/>
          <w:sz w:val="24"/>
          <w:szCs w:val="24"/>
        </w:rPr>
      </w:pPr>
      <w:r>
        <w:rPr>
          <w:rFonts w:ascii="Times New Roman" w:hAnsi="Times New Roman"/>
          <w:b/>
          <w:bCs/>
          <w:color w:val="000000"/>
          <w:sz w:val="24"/>
          <w:szCs w:val="24"/>
        </w:rPr>
        <w:t>（二）主要内容及其确定依据</w:t>
      </w:r>
    </w:p>
    <w:p w14:paraId="56791FC7">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工作组在遵循现有政策文件和相关标准的前提下，充分考虑博物馆教育服务实施过程中的实施主体、实施内容、实施客体等各个环节的实际情况以及未来发展趋势，以问题为导向确定了本标准的框架结构及主要内容。</w:t>
      </w:r>
    </w:p>
    <w:p w14:paraId="6F2F66D9">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1.范围</w:t>
      </w:r>
    </w:p>
    <w:p w14:paraId="70E20273">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工作组参照已有及正在编制中涉及博物馆教育服务的相关标准规范，根据教育服务的现状、发展趋势及概念认知不一、服务内容多样、评价缺失等特点，经多次研讨，确定了本标准的范围是：规定了博物馆教育服务基本原则、服务内容、服务资源、研发与实施，给出了相应的评价与改进方法。适用于各级各类博物馆面向未成年人、成年人、老年人等不同受众群体提供的教育项目（活动）的策划、研发实施、评价与改进等全流程工作。对公众开放的文物保护单位可参照执行。</w:t>
      </w:r>
    </w:p>
    <w:p w14:paraId="1C6DBF17">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2.规范性引用文件</w:t>
      </w:r>
    </w:p>
    <w:p w14:paraId="0A4F4F03">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工作组引用了相关的国家标准和行业标准，包括《安全标志及其使用导则》（GB 2894）、《公共信息图形符号第1部分：通用符号》（GB/T 10001.</w:t>
      </w:r>
      <w:r>
        <w:rPr>
          <w:rFonts w:hint="eastAsia" w:ascii="仿宋_GB2312" w:hAnsi="Times New Roman" w:eastAsia="仿宋_GB2312"/>
          <w:color w:val="000000"/>
          <w:sz w:val="24"/>
          <w:szCs w:val="24"/>
          <w:lang w:eastAsia="zh-CN"/>
        </w:rPr>
        <w:t>1）</w:t>
      </w:r>
      <w:r>
        <w:rPr>
          <w:rFonts w:hint="eastAsia" w:ascii="仿宋_GB2312" w:hAnsi="Times New Roman" w:eastAsia="仿宋_GB2312"/>
          <w:color w:val="000000"/>
          <w:sz w:val="24"/>
          <w:szCs w:val="24"/>
        </w:rPr>
        <w:t>《公共信息图形符号第9部分：无障碍设施符号》（GB/T 10001.</w:t>
      </w:r>
      <w:r>
        <w:rPr>
          <w:rFonts w:hint="eastAsia" w:ascii="仿宋_GB2312" w:hAnsi="Times New Roman" w:eastAsia="仿宋_GB2312"/>
          <w:color w:val="000000"/>
          <w:sz w:val="24"/>
          <w:szCs w:val="24"/>
          <w:lang w:eastAsia="zh-CN"/>
        </w:rPr>
        <w:t>9）</w:t>
      </w:r>
      <w:r>
        <w:rPr>
          <w:rFonts w:hint="eastAsia" w:ascii="仿宋_GB2312" w:hAnsi="Times New Roman" w:eastAsia="仿宋_GB2312"/>
          <w:color w:val="000000"/>
          <w:sz w:val="24"/>
          <w:szCs w:val="24"/>
        </w:rPr>
        <w:t>《消防安全标志第1部分：标志》（GB 13495.</w:t>
      </w:r>
      <w:r>
        <w:rPr>
          <w:rFonts w:hint="eastAsia" w:ascii="仿宋_GB2312" w:hAnsi="Times New Roman" w:eastAsia="仿宋_GB2312"/>
          <w:color w:val="000000"/>
          <w:sz w:val="24"/>
          <w:szCs w:val="24"/>
          <w:lang w:eastAsia="zh-CN"/>
        </w:rPr>
        <w:t>1）</w:t>
      </w:r>
      <w:r>
        <w:rPr>
          <w:rFonts w:hint="eastAsia" w:ascii="仿宋_GB2312" w:hAnsi="Times New Roman" w:eastAsia="仿宋_GB2312"/>
          <w:color w:val="000000"/>
          <w:sz w:val="24"/>
          <w:szCs w:val="24"/>
        </w:rPr>
        <w:t>《公共信息导向系统设置原则与要求第1部分：总则》（GB/T 15566.</w:t>
      </w:r>
      <w:r>
        <w:rPr>
          <w:rFonts w:hint="eastAsia" w:ascii="仿宋_GB2312" w:hAnsi="Times New Roman" w:eastAsia="仿宋_GB2312"/>
          <w:color w:val="000000"/>
          <w:sz w:val="24"/>
          <w:szCs w:val="24"/>
          <w:lang w:eastAsia="zh-CN"/>
        </w:rPr>
        <w:t>1）</w:t>
      </w:r>
      <w:r>
        <w:rPr>
          <w:rFonts w:hint="eastAsia" w:ascii="仿宋_GB2312" w:hAnsi="Times New Roman" w:eastAsia="仿宋_GB2312"/>
          <w:color w:val="000000"/>
          <w:sz w:val="24"/>
          <w:szCs w:val="24"/>
        </w:rPr>
        <w:t>《投诉处理指南》（GB/T 17242）、《博物馆开放服务规范》（GB/T 36721-2018）、《研学旅游服务要求》（LB/T 054-2025）、《研学旅游课程与线路设计指南》（LB/T 092-2025）、《博物馆公共安全应急管理规范》（WW/T 0111-2023）、《博物馆公共文化服务 通用要求》（标准号待发布后补）。本标准涉及的教育服务类型、教育服务专用场所的安全设置、研学旅游的人员配置及课程设置、公共安全应急管理、投诉处理等内容引用了上述标准。</w:t>
      </w:r>
    </w:p>
    <w:p w14:paraId="38A0CF3E">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3.术语与定义</w:t>
      </w:r>
    </w:p>
    <w:p w14:paraId="6BBE706C">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工作组明确《博物馆开放服务规范》（GB/T 36721-2018）及《博物馆公共文化服务 通用要求》（标准号待发布后补）中规定的定义适用本标准，同时规定了“教育项目（活动）”“教育人员”“馆校合作”“研学旅游”“专用场所”等教育服务中常用且容易混淆的基本概念。基本概念的确立是标准具体条款拟定的基础，也为未来各标准使用者理解和执行本标准奠定语义前提。</w:t>
      </w:r>
    </w:p>
    <w:p w14:paraId="63D2BD03">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4.基本原则</w:t>
      </w:r>
    </w:p>
    <w:p w14:paraId="5FC726DF">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工作组通过查阅《博物馆条例》（中华人民共和国国务院令第659号，2015年3月20日起施行）《博物馆运行评估办法》《博物馆运行评估标准》《关于加强文教结合、完善博物馆青少年教育功能的指导意见》等政策文件中关于“博物馆社会教育”的总体要求、功能特色、发展定位的描述及“十五五”规划纲要中关于文化发展的要求，确定“教育服务”要遵循公益性、分众性、包容性、直观性、专业性、创新性、安全性、便利性、开放性等基本原则。</w:t>
      </w:r>
    </w:p>
    <w:p w14:paraId="59FA34D2">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5.服务内容</w:t>
      </w:r>
    </w:p>
    <w:p w14:paraId="4A33049A">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工作组基于全国不同类型博物馆教育服务现状的调研统计，参照《博物馆开放服务规范》（</w:t>
      </w:r>
      <w:r>
        <w:rPr>
          <w:rFonts w:hint="eastAsia" w:ascii="仿宋_GB2312" w:hAnsi="宋体" w:eastAsia="仿宋_GB2312"/>
          <w:sz w:val="24"/>
          <w:szCs w:val="24"/>
        </w:rPr>
        <w:t>GB/T 36721-2018</w:t>
      </w:r>
      <w:r>
        <w:rPr>
          <w:rFonts w:hint="eastAsia" w:ascii="仿宋_GB2312" w:hAnsi="Times New Roman" w:eastAsia="仿宋_GB2312"/>
          <w:color w:val="000000"/>
          <w:sz w:val="24"/>
          <w:szCs w:val="24"/>
        </w:rPr>
        <w:t>）及《博物馆公共文化服务 通用要求》（标准号待发布后补）中关于“教育服务”的条款，确定本标准要规范的</w:t>
      </w:r>
      <w:r>
        <w:rPr>
          <w:rFonts w:hint="eastAsia" w:ascii="仿宋_GB2312" w:hAnsi="宋体" w:eastAsia="仿宋_GB2312" w:cs="宋体"/>
          <w:color w:val="000000"/>
          <w:sz w:val="24"/>
          <w:szCs w:val="24"/>
        </w:rPr>
        <w:t>服务内容的主要类型，包括</w:t>
      </w:r>
      <w:r>
        <w:rPr>
          <w:rFonts w:hint="eastAsia" w:ascii="仿宋_GB2312" w:hAnsi="Times New Roman" w:eastAsia="仿宋_GB2312"/>
          <w:color w:val="000000"/>
          <w:sz w:val="24"/>
          <w:szCs w:val="24"/>
        </w:rPr>
        <w:t>讲解、课程、讲座、衍生品、智慧教育、馆校合作、研学旅游、社区教育、特殊教育、展览、体验项目、展演、赛事、图书等。</w:t>
      </w:r>
    </w:p>
    <w:p w14:paraId="77EB9C70">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同时，从各地教育资源的实际出发，统筹考虑地区间发展不平衡现状及行业发展目标，归纳总结出不同类型的教育服务项目（活动）的具体内容，参照相关政策文件、国家标准、行业标准从内容、形式、实施方式等方面列出明确具体要求。其中，《关于推进中小学生研学旅行的意见》为本标准在“研学旅游”方面涉及与社会资源合作的内容确定提供了参考；《研学旅游服务要求》（LB/T 054-2025）中关于研学旅游服务项目要求、人员配置等内容以及《研学旅游课程与线路设计指南》（LB/T 092-2025）中关于课程设计的内容，为本标准中“研学旅游”的内容界定与具体要求提供了参考；《关于利用博物馆资源开展中小学教育教学的实施意见》《关于进一步减轻义务教育阶段学生作业负担和校外培训负担的意见》《关于利用文化和旅游资源、文物资源提升青少年精神素养的通知》为本标准在“面向中小学生群体研发的教育服务类型”的内容细化方面提供了参考，尤其是为“课程”“馆校合作”“研学旅游”等方面内容的确定给予了明确指导；北京市教育委员会关于印发《北京市实施教育部</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义务教育课程设置实验方案</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的课程计划</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修订</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》的通知（京教基二</w:t>
      </w:r>
      <w:r>
        <w:rPr>
          <w:rFonts w:hint="eastAsia" w:ascii="仿宋_GB2312" w:hAnsi="Times New Roman" w:eastAsia="仿宋_GB2312"/>
          <w:color w:val="000000"/>
          <w:sz w:val="24"/>
          <w:szCs w:val="24"/>
          <w:lang w:eastAsia="zh-CN"/>
        </w:rPr>
        <w:t>〔2015〕12号</w:t>
      </w:r>
      <w:r>
        <w:rPr>
          <w:rFonts w:hint="eastAsia" w:ascii="仿宋_GB2312" w:hAnsi="Times New Roman" w:eastAsia="仿宋_GB2312"/>
          <w:color w:val="000000"/>
          <w:sz w:val="24"/>
          <w:szCs w:val="24"/>
        </w:rPr>
        <w:t>）为教育课程时长设置提供了参考。</w:t>
      </w:r>
    </w:p>
    <w:p w14:paraId="66B2F794">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6.服务资源</w:t>
      </w:r>
    </w:p>
    <w:p w14:paraId="3039EC2E">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工作组从博物馆事业发展、教育服务的可持续发展等角度出发，参照《博物馆条例》（中华人民共和国国务院令第659号，2015年3月20日起施行）《博物馆运行评估办法》《博物馆运行评估标准》《关于加强文教结合、完善博物馆青少年教育功能的指导意见》等政策文件中关于“博物馆社会教育”的机构设置、服务场所、人力资源、设备设施等硬件保障要求，以及“十五五”规划纲要中关于文化发展的要求</w:t>
      </w:r>
      <w:r>
        <w:rPr>
          <w:rFonts w:hint="eastAsia" w:ascii="Times New Roman" w:hAnsi="Times New Roman" w:eastAsia="仿宋"/>
          <w:color w:val="000000"/>
          <w:sz w:val="24"/>
          <w:szCs w:val="24"/>
        </w:rPr>
        <w:t>，确定</w:t>
      </w:r>
      <w:r>
        <w:rPr>
          <w:rFonts w:hint="eastAsia" w:ascii="仿宋_GB2312" w:hAnsi="Times New Roman" w:eastAsia="仿宋_GB2312"/>
          <w:color w:val="000000"/>
          <w:sz w:val="24"/>
          <w:szCs w:val="24"/>
        </w:rPr>
        <w:t>教育服务组织机构的配置、基本职责及场所空间、人员配置、设施设备配备等方面的要求；并基于调研数据确定了教育人员的培训课时、教育人员与服务对象的人员配比等量化指标。参照《消防安全标志》（GB 13495.</w:t>
      </w:r>
      <w:r>
        <w:rPr>
          <w:rFonts w:hint="eastAsia" w:ascii="仿宋_GB2312" w:hAnsi="Times New Roman" w:eastAsia="仿宋_GB2312"/>
          <w:color w:val="000000"/>
          <w:sz w:val="24"/>
          <w:szCs w:val="24"/>
          <w:lang w:eastAsia="zh-CN"/>
        </w:rPr>
        <w:t>1）</w:t>
      </w:r>
      <w:r>
        <w:rPr>
          <w:rFonts w:hint="eastAsia" w:ascii="仿宋_GB2312" w:hAnsi="Times New Roman" w:eastAsia="仿宋_GB2312"/>
          <w:color w:val="000000"/>
          <w:sz w:val="24"/>
          <w:szCs w:val="24"/>
        </w:rPr>
        <w:t>《安全标志及其使用导则》（GB 2894）、《公共信息图形符号》（GB/</w:t>
      </w:r>
      <w:r>
        <w:rPr>
          <w:rFonts w:hint="eastAsia" w:ascii="仿宋_GB2312" w:hAnsi="Times New Roman" w:eastAsia="仿宋_GB2312"/>
          <w:color w:val="000000"/>
          <w:sz w:val="24"/>
          <w:szCs w:val="24"/>
          <w:lang w:eastAsia="zh-CN"/>
        </w:rPr>
        <w:t>T 10001</w:t>
      </w:r>
      <w:r>
        <w:rPr>
          <w:rFonts w:hint="eastAsia" w:ascii="仿宋_GB2312" w:hAnsi="Times New Roman" w:eastAsia="仿宋_GB2312"/>
          <w:color w:val="000000"/>
          <w:sz w:val="24"/>
          <w:szCs w:val="24"/>
        </w:rPr>
        <w:t>）、《公共信息导向系统》（GB/</w:t>
      </w:r>
      <w:r>
        <w:rPr>
          <w:rFonts w:hint="eastAsia" w:ascii="仿宋_GB2312" w:hAnsi="Times New Roman" w:eastAsia="仿宋_GB2312"/>
          <w:color w:val="000000"/>
          <w:sz w:val="24"/>
          <w:szCs w:val="24"/>
          <w:lang w:eastAsia="zh-CN"/>
        </w:rPr>
        <w:t>T 15566</w:t>
      </w:r>
      <w:r>
        <w:rPr>
          <w:rFonts w:hint="eastAsia" w:ascii="仿宋_GB2312" w:hAnsi="Times New Roman" w:eastAsia="仿宋_GB2312"/>
          <w:color w:val="000000"/>
          <w:sz w:val="24"/>
          <w:szCs w:val="24"/>
        </w:rPr>
        <w:t>），确定本标准的场所标志、安全标志、无障碍标志设置等内容。参照《研学旅游服务要求》（LB/T 054-2025）确定餐饮管理内容。</w:t>
      </w:r>
    </w:p>
    <w:p w14:paraId="512835AE">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7.研发与实施</w:t>
      </w:r>
    </w:p>
    <w:p w14:paraId="6A61FCCF">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工作组依据调研情况及多年实践经验，从提升服务效果角度出发，归纳总结出教育项目（活动）的策划研发及组织实施的各环节工作，列出了从研发到实施的全流程细化要求。以“课程”这类教育项目（活动）为例，为公众提供的服务产品是以课程形式呈现，服务过程包括课程的研发及实施过程两部分。研发过程包括项目研发小组组建、教育课程策划方案撰写、课程对象调研、教案文稿撰写、教案审核、整理归档等环节。实施过程由课程实施前、中、后三个环节构成，课程结束后还要有相应的评价与反馈，并基于此完成课程优化。其中，参照《博物馆公共安全应急管理规范》（WW/T 0111-2023）确定实施过程中的应急管理内容。</w:t>
      </w:r>
    </w:p>
    <w:p w14:paraId="7870C101">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8.评价与改进</w:t>
      </w:r>
    </w:p>
    <w:p w14:paraId="34A56AE6">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评价是检验博物馆教育服务效果与质量的重要方式，改进是促进教育服务效果与质量不断提高的重要保障。工作组基于调研数据，参照《博物馆运行评估办法》《博物馆运行评估标准》对博物馆讲解、教育活动的内容、场次以及机构、人员、场所等具体指标的设置，确定评价与改进的技术内容。工作组从博物馆自我评价与社会公众评价两个维度，以及教育服务整体与具体项目两个层面，明确列出了综合评价博物馆教育服务的各项内容，包括建立教育服务评价制度，评价的方式、频次、依据以及改进的方法等细化要求；参照《投诉处理指南》（GB/T 17242）确定本标准的投诉处理制度。并以</w:t>
      </w:r>
      <w:bookmarkStart w:id="4" w:name="OLE_LINK4"/>
      <w:bookmarkStart w:id="5" w:name="OLE_LINK3"/>
      <w:r>
        <w:rPr>
          <w:rFonts w:hint="eastAsia" w:ascii="仿宋_GB2312" w:hAnsi="Times New Roman" w:eastAsia="仿宋_GB2312"/>
          <w:color w:val="000000"/>
          <w:sz w:val="24"/>
          <w:szCs w:val="24"/>
        </w:rPr>
        <w:t>资料附录形式提供了教育服务内部自评表与公众满意度调查问卷作为评价执行参考，</w:t>
      </w:r>
      <w:bookmarkEnd w:id="4"/>
      <w:bookmarkEnd w:id="5"/>
      <w:r>
        <w:rPr>
          <w:rFonts w:hint="eastAsia" w:ascii="仿宋_GB2312" w:hAnsi="Times New Roman" w:eastAsia="仿宋_GB2312"/>
          <w:color w:val="000000"/>
          <w:sz w:val="24"/>
          <w:szCs w:val="24"/>
        </w:rPr>
        <w:t>设置阶梯分值指标，指导不同层级博物馆的教育服务发展。</w:t>
      </w:r>
    </w:p>
    <w:p w14:paraId="67FB8AAF">
      <w:pPr>
        <w:widowControl/>
        <w:spacing w:beforeLines="5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t>三、试验验证的分析、综述报告，技术经济论证，预期的经济效益、社会效益和生态效益</w:t>
      </w:r>
    </w:p>
    <w:p w14:paraId="5219E4D1">
      <w:pPr>
        <w:widowControl/>
        <w:spacing w:beforeLines="50" w:afterLines="50" w:line="400" w:lineRule="exact"/>
        <w:ind w:firstLine="482" w:firstLineChars="200"/>
        <w:rPr>
          <w:rFonts w:ascii="Times New Roman" w:hAnsi="Times New Roman"/>
          <w:b/>
          <w:bCs/>
          <w:color w:val="000000"/>
          <w:sz w:val="24"/>
          <w:szCs w:val="24"/>
        </w:rPr>
      </w:pPr>
      <w:r>
        <w:rPr>
          <w:rFonts w:hint="eastAsia" w:ascii="Times New Roman" w:hAnsi="Times New Roman"/>
          <w:b/>
          <w:bCs/>
          <w:color w:val="000000"/>
          <w:sz w:val="24"/>
          <w:szCs w:val="24"/>
        </w:rPr>
        <w:t>（一）试验验证的分析、综述报告，技术经济论证方面</w:t>
      </w:r>
    </w:p>
    <w:p w14:paraId="2CDBCCE2">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工作组成员在预研阶段已对目前博物馆教育服务的现状、困难、发展预期等情况进行了摸查，又都是来自东中西部4 家综合性博物馆中具有丰富教育服务工作经验的一线人员，熟悉教育服务的全流程工作，在编制过程中</w:t>
      </w:r>
      <w:r>
        <w:rPr>
          <w:rFonts w:hint="eastAsia" w:ascii="仿宋_GB2312" w:hAnsi="Times New Roman" w:eastAsia="仿宋_GB2312"/>
          <w:color w:val="000000"/>
          <w:sz w:val="24"/>
          <w:szCs w:val="24"/>
          <w:lang w:eastAsia="zh-CN"/>
        </w:rPr>
        <w:t>对</w:t>
      </w:r>
      <w:r>
        <w:rPr>
          <w:rFonts w:hint="eastAsia" w:ascii="仿宋_GB2312" w:hAnsi="Times New Roman" w:eastAsia="仿宋_GB2312"/>
          <w:color w:val="000000"/>
          <w:sz w:val="24"/>
          <w:szCs w:val="24"/>
        </w:rPr>
        <w:t>服务内容、服务资源、研发与实施、评价与改进等章节技术指标的确定做了细致的分析、比较、验证工作，具体验证过程见本文“</w:t>
      </w:r>
      <w:r>
        <w:rPr>
          <w:rFonts w:ascii="仿宋_GB2312" w:hAnsi="Times New Roman" w:eastAsia="仿宋_GB2312"/>
          <w:color w:val="000000"/>
          <w:sz w:val="24"/>
          <w:szCs w:val="24"/>
        </w:rPr>
        <w:t>主要内容及其确定依据</w:t>
      </w:r>
      <w:r>
        <w:rPr>
          <w:rFonts w:hint="eastAsia" w:ascii="仿宋_GB2312" w:hAnsi="Times New Roman" w:eastAsia="仿宋_GB2312"/>
          <w:color w:val="000000"/>
          <w:sz w:val="24"/>
          <w:szCs w:val="24"/>
        </w:rPr>
        <w:t>”部分。此外，在预研阶段，本标准已面向全国18家不同规模、类型的博物馆进行了意见征求，工作组根据意见反馈完成修改，进一步完善了技术条款的合理性。同时还将本标准中的附录性资料（“教育服务内部自评表”）专门发给了12家博物馆进行验证填写，其中一级、二级、三级博物馆各4家，主要涉及北京、河南、河北、江西4个地区的综合类、行业类、遗址类博物馆。根据自评表的填写情况来看，自评表的评分内容与分值设置能体现出对不同层次博物馆在教育服务方面的不同要求，可以具体指导不同类型博物馆发现各自存在的差距与不足，进行下一步的改进与完善。</w:t>
      </w:r>
    </w:p>
    <w:p w14:paraId="7F268FF0">
      <w:pPr>
        <w:adjustRightInd w:val="0"/>
        <w:snapToGrid w:val="0"/>
        <w:spacing w:line="360" w:lineRule="auto"/>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以上工作从实践层面检验了本标准的技术条款，保障其具有较高的科学合理性，在后续研制过程中将会择机选择更多的博物馆进行验证，不断优化技术内容。</w:t>
      </w:r>
    </w:p>
    <w:p w14:paraId="61A88C1F">
      <w:pPr>
        <w:widowControl/>
        <w:spacing w:beforeLines="5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t>（二）预期的经济效益、社会效益和生态效益方面</w:t>
      </w:r>
    </w:p>
    <w:p w14:paraId="6F07C5CF">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本标准规范的对象为“博物馆教育服务”，公益属性为基本属性，各馆可根据实际情况开展部分收费项目。收费教育项目的经济效益预期与教育服务质量、开展频次、场地、博物馆的知名度等因素密切相关。本标准实施后有助于促进以上因素的有效落实。</w:t>
      </w:r>
    </w:p>
    <w:p w14:paraId="7C1FB084">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本标准实施后将</w:t>
      </w:r>
      <w:r>
        <w:rPr>
          <w:rFonts w:hint="eastAsia" w:ascii="仿宋_GB2312" w:hAnsi="Times New Roman" w:eastAsia="仿宋_GB2312"/>
          <w:color w:val="000000"/>
          <w:sz w:val="24"/>
          <w:szCs w:val="24"/>
          <w:lang w:eastAsia="zh-CN"/>
        </w:rPr>
        <w:t>有助于</w:t>
      </w:r>
      <w:r>
        <w:rPr>
          <w:rFonts w:hint="eastAsia" w:ascii="仿宋_GB2312" w:hAnsi="Times New Roman" w:eastAsia="仿宋_GB2312"/>
          <w:color w:val="000000"/>
          <w:sz w:val="24"/>
          <w:szCs w:val="24"/>
        </w:rPr>
        <w:t>构建博物馆教育融合发展平台，建立多区域多层次博物馆合作体系，深化合作机制，指导新技术赋能</w:t>
      </w:r>
      <w:r>
        <w:rPr>
          <w:rFonts w:hint="eastAsia" w:ascii="仿宋_GB2312" w:hAnsi="Times New Roman" w:eastAsia="仿宋_GB2312"/>
          <w:color w:val="000000"/>
          <w:sz w:val="24"/>
          <w:szCs w:val="24"/>
          <w:lang w:eastAsia="zh-CN"/>
        </w:rPr>
        <w:t>，在</w:t>
      </w:r>
      <w:r>
        <w:rPr>
          <w:rFonts w:hint="eastAsia" w:ascii="仿宋_GB2312" w:hAnsi="Times New Roman" w:eastAsia="仿宋_GB2312"/>
          <w:color w:val="000000"/>
          <w:sz w:val="24"/>
          <w:szCs w:val="24"/>
        </w:rPr>
        <w:t>优化教育服务资源分配、服务方式和管理效率等方面发挥指导协调作用，为公众提供更具包容性、公平性、可及性与可持续性的高品质博物馆教育服务。</w:t>
      </w:r>
    </w:p>
    <w:p w14:paraId="004572C7">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本标准实施后将助力博物馆以丰富精品研学线路为契机，孵化优质研学品牌和企业，补足老年人文旅服务短板，创造文旅融合新增长点和就业机会，促进银发经济等新业态发展，带动本地经济发展。</w:t>
      </w:r>
    </w:p>
    <w:p w14:paraId="17601EF8">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本标准中将明确落实生态环保理念，将生态文明教育融入教育服务，实施后将带动博物馆及合作单位共同贯彻可持续发展的生态环保理念。</w:t>
      </w:r>
    </w:p>
    <w:p w14:paraId="44B4544E">
      <w:pPr>
        <w:widowControl/>
        <w:spacing w:beforeLines="5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t>四、与国际、国外同类标准技术内容的对比情况，或者与测试的国外样品、样机的有关数据对比情况</w:t>
      </w:r>
    </w:p>
    <w:p w14:paraId="72750676">
      <w:pPr>
        <w:adjustRightInd w:val="0"/>
        <w:snapToGrid w:val="0"/>
        <w:spacing w:line="360" w:lineRule="auto"/>
        <w:ind w:firstLine="480" w:firstLineChars="200"/>
        <w:rPr>
          <w:rFonts w:ascii="仿宋_GB2312" w:hAnsi="Times New Roman" w:eastAsia="仿宋_GB2312"/>
          <w:color w:val="000000"/>
          <w:sz w:val="24"/>
          <w:szCs w:val="24"/>
        </w:rPr>
      </w:pPr>
      <w:bookmarkStart w:id="6" w:name="OLE_LINK6"/>
      <w:bookmarkStart w:id="7" w:name="OLE_LINK7"/>
      <w:r>
        <w:rPr>
          <w:rFonts w:hint="eastAsia" w:ascii="仿宋_GB2312" w:hAnsi="Times New Roman" w:eastAsia="仿宋_GB2312"/>
          <w:color w:val="000000"/>
          <w:sz w:val="24"/>
          <w:szCs w:val="24"/>
        </w:rPr>
        <w:t>到目前为止，尚未检索到“博物馆公共文化服务  教育服务规范”专项国际标准和国外先进标准</w:t>
      </w:r>
      <w:bookmarkEnd w:id="6"/>
      <w:bookmarkEnd w:id="7"/>
      <w:r>
        <w:rPr>
          <w:rFonts w:hint="eastAsia" w:ascii="仿宋_GB2312" w:hAnsi="Times New Roman" w:eastAsia="仿宋_GB2312"/>
          <w:color w:val="000000"/>
          <w:sz w:val="24"/>
          <w:szCs w:val="24"/>
        </w:rPr>
        <w:t>。</w:t>
      </w:r>
    </w:p>
    <w:p w14:paraId="7FCC2342">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相关的国际标准和国外标准中有涉及“教育服务规范”</w:t>
      </w:r>
      <w:bookmarkStart w:id="11" w:name="_GoBack"/>
      <w:r>
        <w:rPr>
          <w:rFonts w:hint="eastAsia" w:ascii="仿宋_GB2312" w:hAnsi="Times New Roman" w:eastAsia="仿宋_GB2312"/>
          <w:color w:val="000000"/>
          <w:sz w:val="24"/>
          <w:szCs w:val="24"/>
        </w:rPr>
        <w:t>相关</w:t>
      </w:r>
      <w:bookmarkEnd w:id="11"/>
      <w:r>
        <w:rPr>
          <w:rFonts w:hint="eastAsia" w:ascii="仿宋_GB2312" w:hAnsi="Times New Roman" w:eastAsia="仿宋_GB2312"/>
          <w:color w:val="000000"/>
          <w:sz w:val="24"/>
          <w:szCs w:val="24"/>
        </w:rPr>
        <w:t>内容。例如，1986年，国际博物馆协会第15届大会通过的《博物馆职业道德准则》，相关条款对博物馆教育服务人员的职责、博物馆教育及作用进行了明确定义。20世纪80年代，英国颁布的《1988教育改革法》，明确推行“国家统一课程”，各博物馆根据“国家课程”要求制作了教育手册，并与学校课程进行衔接。1992年，美国博物馆协会发布了《卓越与平等: 博物馆教育职能与公众参与》报告，明确指出博物馆公众服务的核心是“教育”，博物馆应该接纳各类观众，扩展了博物馆教育服务职能的范畴。2005年，美国博物馆协会发布《实践卓越：博物馆教育的原则与标准》，对博物馆教育服务以及教育工作者的职责、目标等进行了规定。2006年，美国博物馆协会通过了被统称为“美国博物馆标准和最佳做法”的一系列规范性文件，其中《美国博物馆“优秀标准”的特征》《美国博物馆协会的博物馆职业道德准则》《美国博物馆协会的设施和风险管理标准》等文件中有涉及博物馆教育的内容。2007年，日本政府修订通过了《博物馆法》，明确规定博物馆应为不同群体提供不同的教育服务。2014年，美国博物馆联盟发布了《构建教育的未来：博物馆与学习生态系统》白皮书，指出博物馆将在未来的学习生态系统中扮演重要角色，博物馆与学校之间的合作将开创教育崭新未来。</w:t>
      </w:r>
    </w:p>
    <w:p w14:paraId="1E63C3D7">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以上国际标准或者法案，在博物馆教育服务的概念、目标，尤其是博物馆教育与学校教育、国民终身教育的关系，以及课程设置等方面规定了适用</w:t>
      </w:r>
      <w:r>
        <w:rPr>
          <w:rFonts w:hint="eastAsia" w:ascii="仿宋_GB2312" w:hAnsi="Times New Roman" w:eastAsia="仿宋_GB2312"/>
          <w:color w:val="000000"/>
          <w:sz w:val="24"/>
          <w:szCs w:val="24"/>
          <w:lang w:eastAsia="zh-CN"/>
        </w:rPr>
        <w:t>于国外</w:t>
      </w:r>
      <w:r>
        <w:rPr>
          <w:rFonts w:hint="eastAsia" w:ascii="仿宋_GB2312" w:hAnsi="Times New Roman" w:eastAsia="仿宋_GB2312"/>
          <w:color w:val="000000"/>
          <w:sz w:val="24"/>
          <w:szCs w:val="24"/>
        </w:rPr>
        <w:t>博物馆教育服务的运行规则，可为本标准的制定提供一定参考，但具有鲜明的国别特色，且与博物馆教育服务直接相关的内容较少。</w:t>
      </w:r>
    </w:p>
    <w:p w14:paraId="674A87D0">
      <w:pPr>
        <w:widowControl/>
        <w:spacing w:beforeLines="5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t>五、以国际标准为基础的起草情况，以及是否合规引用或者采用国际国外标准，并说明未采用国际标准的原因</w:t>
      </w:r>
    </w:p>
    <w:p w14:paraId="2970A064">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本标准在编制过程中未采用国际标准。</w:t>
      </w:r>
    </w:p>
    <w:p w14:paraId="11E1DEF1">
      <w:pPr>
        <w:adjustRightInd w:val="0"/>
        <w:snapToGrid w:val="0"/>
        <w:spacing w:line="360" w:lineRule="auto"/>
        <w:ind w:firstLine="482" w:firstLineChars="200"/>
        <w:rPr>
          <w:rFonts w:ascii="Times New Roman" w:hAnsi="Times New Roman"/>
          <w:b/>
          <w:bCs/>
          <w:color w:val="000000"/>
          <w:sz w:val="24"/>
          <w:szCs w:val="24"/>
        </w:rPr>
      </w:pPr>
      <w:r>
        <w:rPr>
          <w:rFonts w:hint="eastAsia" w:ascii="Times New Roman" w:hAnsi="Times New Roman"/>
          <w:b/>
          <w:bCs/>
          <w:color w:val="000000"/>
          <w:sz w:val="24"/>
          <w:szCs w:val="24"/>
        </w:rPr>
        <w:t>六、与有关法律、行政法规及相关标准的关系</w:t>
      </w:r>
    </w:p>
    <w:p w14:paraId="470336A6">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本标准在编制过程中参照了当前文博领域颁布施行的相关国家法律法规、政策文件及强制性标准、基础通用标准等，与其相关内容保持协调一致。</w:t>
      </w:r>
    </w:p>
    <w:p w14:paraId="348EDB72">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一是本标准条款内容的确定符合文博领域颁布施行的相关国家法律法规要求。例如，本标准的定义术语表述以及“基本原则”“教育人员”“评价与改进”等条款的设计原则</w:t>
      </w:r>
      <w:r>
        <w:rPr>
          <w:rFonts w:hint="eastAsia" w:ascii="仿宋_GB2312" w:hAnsi="Times New Roman" w:eastAsia="仿宋_GB2312"/>
          <w:color w:val="000000"/>
          <w:sz w:val="24"/>
          <w:szCs w:val="24"/>
          <w:lang w:eastAsia="zh-CN"/>
        </w:rPr>
        <w:t>，与</w:t>
      </w:r>
      <w:r>
        <w:rPr>
          <w:rFonts w:hint="eastAsia" w:ascii="仿宋_GB2312" w:hAnsi="Times New Roman" w:eastAsia="仿宋_GB2312"/>
          <w:color w:val="000000"/>
          <w:sz w:val="24"/>
          <w:szCs w:val="24"/>
        </w:rPr>
        <w:t>《中华人民共和国公共文化服务保障法》《中华人民共和国突发事件应对法》《中华人民共和国食品安全法》《博物馆条例》《中国文物、博物馆工作者职业道德准则（修订版）》等法律法规中关于公共文化服务均等化与公平性要求、博物馆工作人员要求、突发事件处理办法、食品安全管理办法</w:t>
      </w:r>
      <w:r>
        <w:rPr>
          <w:rFonts w:hint="eastAsia" w:ascii="仿宋_GB2312" w:hAnsi="Times New Roman" w:eastAsia="仿宋_GB2312"/>
          <w:color w:val="000000"/>
          <w:sz w:val="24"/>
          <w:szCs w:val="24"/>
          <w:lang w:eastAsia="zh-CN"/>
        </w:rPr>
        <w:t>的规定</w:t>
      </w:r>
      <w:r>
        <w:rPr>
          <w:rFonts w:hint="eastAsia" w:ascii="仿宋_GB2312" w:hAnsi="Times New Roman" w:eastAsia="仿宋_GB2312"/>
          <w:color w:val="000000"/>
          <w:sz w:val="24"/>
          <w:szCs w:val="24"/>
        </w:rPr>
        <w:t>保持一致。</w:t>
      </w:r>
    </w:p>
    <w:p w14:paraId="2D53D7AD">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二是本标准条款内容的确定与颁布施行的国家强制性标准保持协调一致。例如，本标准的“专用场所”在标志设置、安全标志设置等方面的内容</w:t>
      </w:r>
      <w:r>
        <w:rPr>
          <w:rFonts w:hint="eastAsia" w:ascii="仿宋_GB2312" w:hAnsi="Times New Roman" w:eastAsia="仿宋_GB2312"/>
          <w:color w:val="000000"/>
          <w:sz w:val="24"/>
          <w:szCs w:val="24"/>
          <w:lang w:eastAsia="zh-CN"/>
        </w:rPr>
        <w:t>，执行</w:t>
      </w:r>
      <w:r>
        <w:rPr>
          <w:rFonts w:hint="eastAsia" w:ascii="仿宋_GB2312" w:hAnsi="Times New Roman" w:eastAsia="仿宋_GB2312"/>
          <w:color w:val="000000"/>
          <w:sz w:val="24"/>
          <w:szCs w:val="24"/>
        </w:rPr>
        <w:t>《消防安全标志》（GB 13495.</w:t>
      </w:r>
      <w:r>
        <w:rPr>
          <w:rFonts w:hint="eastAsia" w:ascii="仿宋_GB2312" w:hAnsi="Times New Roman" w:eastAsia="仿宋_GB2312"/>
          <w:color w:val="000000"/>
          <w:sz w:val="24"/>
          <w:szCs w:val="24"/>
          <w:lang w:eastAsia="zh-CN"/>
        </w:rPr>
        <w:t>1）</w:t>
      </w:r>
      <w:r>
        <w:rPr>
          <w:rFonts w:hint="eastAsia" w:ascii="仿宋_GB2312" w:hAnsi="Times New Roman" w:eastAsia="仿宋_GB2312"/>
          <w:color w:val="000000"/>
          <w:sz w:val="24"/>
          <w:szCs w:val="24"/>
        </w:rPr>
        <w:t xml:space="preserve">《安全标志及其使用导则》（GB 2894）的相关条款规定。  </w:t>
      </w:r>
    </w:p>
    <w:p w14:paraId="68F4302F">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三是本标准的框架结构和主要内容依据国家政策文件确定。《教育强国建设规划纲要》《全面推进“大思政课”建设的工作方案》要求加强文博资源在思政、法治、安全等教育领域的融入与应用。《关于推进博物馆改革发展的指导意见》要求制定博物馆教育服务标准</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丰富博物馆教育课程体系</w:t>
      </w:r>
      <w:r>
        <w:rPr>
          <w:rFonts w:hint="eastAsia" w:ascii="仿宋_GB2312" w:hAnsi="Times New Roman" w:eastAsia="仿宋_GB2312"/>
          <w:color w:val="000000"/>
          <w:sz w:val="24"/>
          <w:szCs w:val="24"/>
          <w:lang w:eastAsia="zh-CN"/>
        </w:rPr>
        <w:t>，</w:t>
      </w:r>
      <w:r>
        <w:rPr>
          <w:rFonts w:hint="eastAsia" w:ascii="仿宋_GB2312" w:hAnsi="Times New Roman" w:eastAsia="仿宋_GB2312"/>
          <w:color w:val="000000"/>
          <w:sz w:val="24"/>
          <w:szCs w:val="24"/>
        </w:rPr>
        <w:t xml:space="preserve">推动各类博物馆数字资源接入国家数字教育资源公共服务体系。《博物馆运行评估办法》《博物馆运行评估标准》对博物馆讲解、教育活动的内容、场次等有具体指标。以上政策文件为本标准的“基本原则”“服务内容”“服务资源”“评价与改进”等部分的结构设计与内容确定提供了依据。《关于推进中小学生研学旅行的意见》为本标准在“研学旅游”方面涉及与社会资源合作的内容确定提供了参考。《关于利用博物馆资源开展中小学教育教学的实施意见》《关于进一步减轻义务教育阶段学生作业负担和校外培训负担的意见》《关于利用文化和旅游资源、文物资源提升青少年精神素养的通知》为本标准在“面向中小学生群体研发的教育服务类型”的内容细化方面提供了参考，尤其是为“课程”“馆校合作”“研学旅游”等方面从具体内容到呈现形式、实施方式等条款的确定给予了明确指导。 </w:t>
      </w:r>
    </w:p>
    <w:p w14:paraId="146F7D2F">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若本标准作为国家推荐性行业标准发布实施后，将会对相关现行法律法规、政策文件和国家强制性标准的执行实施起到补充完善、细化优化作用，有效保障博物馆行业的教育服务效果。</w:t>
      </w:r>
    </w:p>
    <w:p w14:paraId="68D5F04F">
      <w:pPr>
        <w:widowControl/>
        <w:spacing w:beforeLines="5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t>七、重大分歧意见的处理经过和依据</w:t>
      </w:r>
    </w:p>
    <w:p w14:paraId="24448F65">
      <w:pPr>
        <w:adjustRightInd w:val="0"/>
        <w:snapToGrid w:val="0"/>
        <w:spacing w:line="360" w:lineRule="auto"/>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本标准在编制过程中充分吸收了相关领域专家的意见，无重大分歧意见。</w:t>
      </w:r>
    </w:p>
    <w:p w14:paraId="2E25BA3D">
      <w:pPr>
        <w:widowControl/>
        <w:spacing w:beforeLines="5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t>八、涉及专利的有关说明</w:t>
      </w:r>
    </w:p>
    <w:p w14:paraId="283C64D2">
      <w:pPr>
        <w:spacing w:line="400" w:lineRule="exact"/>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本标准在编制过程中引用如下标准，</w:t>
      </w:r>
      <w:bookmarkStart w:id="8" w:name="OLE_LINK5"/>
      <w:bookmarkStart w:id="9" w:name="OLE_LINK8"/>
      <w:bookmarkStart w:id="10" w:name="OLE_LINK9"/>
      <w:r>
        <w:rPr>
          <w:rFonts w:hint="eastAsia" w:ascii="仿宋_GB2312" w:hAnsi="Times New Roman" w:eastAsia="仿宋_GB2312"/>
          <w:color w:val="000000"/>
          <w:sz w:val="24"/>
          <w:szCs w:val="24"/>
        </w:rPr>
        <w:t>《安全标志及其使用导则》</w:t>
      </w:r>
      <w:bookmarkEnd w:id="8"/>
      <w:r>
        <w:rPr>
          <w:rFonts w:hint="eastAsia" w:ascii="仿宋_GB2312" w:hAnsi="Times New Roman" w:eastAsia="仿宋_GB2312"/>
          <w:color w:val="000000"/>
          <w:sz w:val="24"/>
          <w:szCs w:val="24"/>
        </w:rPr>
        <w:t>（GB 2894）、《公共信息图形符号第1部分：通用符号》（GB/T 10001.1）、《公共信息图形符号第9部分：无障碍设施符号》（GB/T 10001.9）、《消防安全标志第1部分：标志》（GB 13495.1）、《公共信息导向系统设置原则与要求第1部分：总则》（GB/T 15566.1）、《投诉处理指南》（GB/T 17242）、《博物馆开放服务规范》（GB/T 36721-2018）、《研学旅游服务要求》（LB/T 054-2025）、《研学旅游课程与线路设计指南》（LB/T 092-2025）、《博物馆公共安全应急管理规范》（WW/T 0111-2023）</w:t>
      </w:r>
      <w:bookmarkEnd w:id="9"/>
      <w:bookmarkEnd w:id="10"/>
      <w:r>
        <w:rPr>
          <w:rFonts w:hint="eastAsia" w:ascii="仿宋_GB2312" w:hAnsi="Times New Roman" w:eastAsia="仿宋_GB2312"/>
          <w:color w:val="000000"/>
          <w:sz w:val="24"/>
          <w:szCs w:val="24"/>
        </w:rPr>
        <w:t>等。以上标准都为公开发布，不涉及相关版权、专利等知识产权情况。</w:t>
      </w:r>
    </w:p>
    <w:p w14:paraId="636CB3EF">
      <w:pPr>
        <w:widowControl/>
        <w:spacing w:beforeLines="5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t>九、实施标准的要求，以及组织措施、技术措施、过渡期和实施日期的建议等措施建议</w:t>
      </w:r>
    </w:p>
    <w:p w14:paraId="61850629">
      <w:pPr>
        <w:spacing w:line="400" w:lineRule="exact"/>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本标准建议作为推荐性行业标准发布实施，自发布实施之日起生效。本标准属首次制定，且与相关标准协调一致，无需废止现行有关标准。</w:t>
      </w:r>
    </w:p>
    <w:p w14:paraId="0E5A217E">
      <w:pPr>
        <w:spacing w:line="400" w:lineRule="exact"/>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建议在标准发布实施后，在全国博物馆公共文化服务领域推荐执行此标准，具体措施如下：</w:t>
      </w:r>
    </w:p>
    <w:p w14:paraId="506FEB02">
      <w:pPr>
        <w:spacing w:line="400" w:lineRule="exact"/>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一是通过各大博物馆及文博机构的官方网站、官方微信等媒体对本标准进行深度解读及广泛推广，让博物馆人都熟悉标准内容。</w:t>
      </w:r>
    </w:p>
    <w:p w14:paraId="57B56CBB">
      <w:pPr>
        <w:spacing w:line="400" w:lineRule="exact"/>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二是标准编制单位组织面向行业人员的标准内容解读培训班；联合中国博协社教专委会、志愿者工作委员会以及各级地方文博领域的社会团体，组织开展对本标准内容的专题学习与培训。</w:t>
      </w:r>
    </w:p>
    <w:p w14:paraId="1C38FAE0">
      <w:pPr>
        <w:spacing w:line="400" w:lineRule="exact"/>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三是结合本标准中的“评价与改进”条款有组织有计划地开展教育服务的评价工作，以此进一步规范并指导博物馆教育服务工作的发展。</w:t>
      </w:r>
    </w:p>
    <w:p w14:paraId="15C6ADC2">
      <w:pPr>
        <w:widowControl/>
        <w:spacing w:beforeLines="5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t>十、其他应当说明的事项</w:t>
      </w:r>
    </w:p>
    <w:p w14:paraId="2EA7AC04">
      <w:pPr>
        <w:spacing w:line="400" w:lineRule="exact"/>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在征求意见环节，根据全国文物保护标准化技术委员会秘书处建议，将本标准名称更名为《博物馆公共文化服务  教育服务规范》，与《博物馆公共文化服务  通用要求》保持一致。</w:t>
      </w:r>
    </w:p>
    <w:p w14:paraId="40F24B8A">
      <w:pPr>
        <w:spacing w:line="400" w:lineRule="exact"/>
        <w:ind w:firstLine="480" w:firstLineChars="200"/>
        <w:rPr>
          <w:rFonts w:ascii="仿宋_GB2312" w:hAnsi="Times New Roman" w:eastAsia="仿宋_GB2312"/>
          <w:color w:val="000000"/>
          <w:sz w:val="24"/>
          <w:szCs w:val="24"/>
        </w:rPr>
      </w:pPr>
    </w:p>
    <w:p w14:paraId="42BD5BE2">
      <w:pPr>
        <w:spacing w:line="400" w:lineRule="exact"/>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《博物馆公共文化服务  教育服务规范》</w:t>
      </w:r>
    </w:p>
    <w:p w14:paraId="50BEBB03">
      <w:pPr>
        <w:spacing w:line="400" w:lineRule="exact"/>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标准编制起草工作组</w:t>
      </w:r>
    </w:p>
    <w:p w14:paraId="6475448B">
      <w:pPr>
        <w:spacing w:line="400" w:lineRule="exact"/>
        <w:ind w:firstLine="480" w:firstLineChars="200"/>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                                                   2026年3月</w:t>
      </w:r>
    </w:p>
    <w:sectPr>
      <w:headerReference r:id="rId3" w:type="default"/>
      <w:footerReference r:id="rId4" w:type="default"/>
      <w:pgSz w:w="11900" w:h="16840"/>
      <w:pgMar w:top="1571" w:right="975" w:bottom="1571" w:left="975" w:header="851" w:footer="992"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JhengHei Light">
    <w:panose1 w:val="020B0304030504040204"/>
    <w:charset w:val="88"/>
    <w:family w:val="swiss"/>
    <w:pitch w:val="default"/>
    <w:sig w:usb0="800002A7" w:usb1="28CF4400" w:usb2="00000016" w:usb3="00000000" w:csb0="00100009" w:csb1="00000000"/>
  </w:font>
  <w:font w:name="宋体_x0003_...销.">
    <w:altName w:val="宋体"/>
    <w:panose1 w:val="00000000000000000000"/>
    <w:charset w:val="86"/>
    <w:family w:val="roman"/>
    <w:pitch w:val="default"/>
    <w:sig w:usb0="00000000" w:usb1="00000000" w:usb2="00000010" w:usb3="00000000" w:csb0="00040000" w:csb1="00000000"/>
  </w:font>
  <w:font w:name="Times New Roman Regular">
    <w:altName w:val="Times New Roman"/>
    <w:panose1 w:val="00000000000000000000"/>
    <w:charset w:val="00"/>
    <w:family w:val="auto"/>
    <w:pitch w:val="default"/>
    <w:sig w:usb0="00000000" w:usb1="00000000" w:usb2="00000001" w:usb3="00000000" w:csb0="400001BF" w:csb1="DFF7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E9445">
    <w:pPr>
      <w:pStyle w:val="5"/>
      <w:tabs>
        <w:tab w:val="center" w:pos="4535"/>
        <w:tab w:val="clear" w:pos="4153"/>
      </w:tabs>
      <w:rPr>
        <w:sz w:val="21"/>
        <w:szCs w:val="21"/>
      </w:rPr>
    </w:pPr>
    <w:r>
      <w:rPr>
        <w:sz w:val="21"/>
      </w:rPr>
      <w:pict>
        <v:shape id="_x0000_s1026" o:spid="_x0000_s1026" o:spt="202" type="#_x0000_t202" style="position:absolute;left:0pt;margin-top:0pt;height:26.45pt;width:36.8pt;mso-position-horizontal:center;mso-position-horizontal-relative:margin;mso-wrap-style:none;z-index:251659264;mso-width-relative:page;mso-height-relative:page;" filled="f" stroked="f" coordsize="21600,21600" o:gfxdata="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&#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Reu8y0gAAAAMBAAAPAAAAAAAAAAEAIAAAACIAAABk&#10;cnMvZG93bnJldi54bWxQSwECFAAUAAAACACHTuJA8N3oktMBAAClAwAADgAAAAAAAAABACAAAAAh&#10;AQAAZHJzL2Uyb0RvYy54bWxQSwUGAAAAAAYABgBZAQAAZgUAAAAA&#10;">
          <v:path/>
          <v:fill on="f" focussize="0,0"/>
          <v:stroke on="f" joinstyle="miter"/>
          <v:imagedata o:title=""/>
          <o:lock v:ext="edit"/>
          <v:textbox inset="0mm,0mm,0mm,0mm" style="mso-fit-shape-to-text:t;">
            <w:txbxContent>
              <w:p w14:paraId="7EDBF018">
                <w:pPr>
                  <w:pStyle w:val="5"/>
                  <w:rPr>
                    <w:rStyle w:val="12"/>
                    <w:rFonts w:ascii="宋体" w:hAnsi="宋体" w:eastAsia="宋体" w:cs="宋体"/>
                    <w:szCs w:val="21"/>
                  </w:rPr>
                </w:pPr>
                <w:r>
                  <w:rPr>
                    <w:rFonts w:hint="eastAsia" w:ascii="宋体" w:hAnsi="宋体" w:cs="宋体"/>
                    <w:sz w:val="21"/>
                    <w:szCs w:val="21"/>
                  </w:rPr>
                  <w:t>—</w:t>
                </w:r>
                <w:r>
                  <w:rPr>
                    <w:rFonts w:hint="eastAsia" w:ascii="宋体" w:hAnsi="宋体" w:cs="宋体"/>
                    <w:sz w:val="21"/>
                    <w:szCs w:val="21"/>
                  </w:rPr>
                  <w:fldChar w:fldCharType="begin"/>
                </w:r>
                <w:r>
                  <w:rPr>
                    <w:rStyle w:val="12"/>
                    <w:rFonts w:hint="eastAsia" w:ascii="宋体" w:hAnsi="宋体" w:eastAsia="宋体" w:cs="宋体"/>
                    <w:szCs w:val="21"/>
                  </w:rPr>
                  <w:instrText xml:space="preserve"> PAGE </w:instrText>
                </w:r>
                <w:r>
                  <w:rPr>
                    <w:rFonts w:hint="eastAsia" w:ascii="宋体" w:hAnsi="宋体" w:cs="宋体"/>
                    <w:sz w:val="21"/>
                    <w:szCs w:val="21"/>
                  </w:rPr>
                  <w:fldChar w:fldCharType="separate"/>
                </w:r>
                <w:r>
                  <w:rPr>
                    <w:rStyle w:val="12"/>
                    <w:rFonts w:ascii="宋体" w:hAnsi="宋体" w:eastAsia="宋体" w:cs="宋体"/>
                    <w:szCs w:val="21"/>
                  </w:rPr>
                  <w:t>12</w:t>
                </w:r>
                <w:r>
                  <w:rPr>
                    <w:rFonts w:hint="eastAsia" w:ascii="宋体" w:hAnsi="宋体" w:cs="宋体"/>
                    <w:sz w:val="21"/>
                    <w:szCs w:val="21"/>
                  </w:rPr>
                  <w:fldChar w:fldCharType="end"/>
                </w:r>
                <w:r>
                  <w:rPr>
                    <w:rFonts w:hint="eastAsia" w:ascii="宋体" w:hAnsi="宋体" w:cs="宋体"/>
                    <w:sz w:val="21"/>
                    <w:szCs w:val="21"/>
                  </w:rPr>
                  <w:t>—</w:t>
                </w:r>
              </w:p>
              <w:p w14:paraId="3367948F"/>
            </w:txbxContent>
          </v:textbox>
        </v:shape>
      </w:pict>
    </w:r>
    <w:r>
      <w:rPr>
        <w:rFonts w:hint="eastAsia"/>
        <w:sz w:val="21"/>
        <w:szCs w:val="21"/>
      </w:rPr>
      <w:tab/>
    </w:r>
  </w:p>
  <w:p w14:paraId="555D5CDB">
    <w:pPr>
      <w:rPr>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CCE81">
    <w:pPr>
      <w:rPr>
        <w:sz w:val="2"/>
        <w:szCs w:val="2"/>
      </w:rPr>
    </w:pPr>
  </w:p>
  <w:p w14:paraId="57916E6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djZmY2OTA3MDY3YTdmMjc3MmNhNTdjYTQxZDgxY2IifQ=="/>
  </w:docVars>
  <w:rsids>
    <w:rsidRoot w:val="00AE6A73"/>
    <w:rsid w:val="00011070"/>
    <w:rsid w:val="00012EA4"/>
    <w:rsid w:val="00014F96"/>
    <w:rsid w:val="00022569"/>
    <w:rsid w:val="00027992"/>
    <w:rsid w:val="000302DD"/>
    <w:rsid w:val="00030E16"/>
    <w:rsid w:val="00046FA7"/>
    <w:rsid w:val="000564D2"/>
    <w:rsid w:val="000574C5"/>
    <w:rsid w:val="00064492"/>
    <w:rsid w:val="0008478F"/>
    <w:rsid w:val="000A6492"/>
    <w:rsid w:val="000A64FF"/>
    <w:rsid w:val="000A6C89"/>
    <w:rsid w:val="000C08F6"/>
    <w:rsid w:val="000C0BF0"/>
    <w:rsid w:val="000D709C"/>
    <w:rsid w:val="000E06B3"/>
    <w:rsid w:val="00107111"/>
    <w:rsid w:val="001071DD"/>
    <w:rsid w:val="00111BA0"/>
    <w:rsid w:val="00117D2C"/>
    <w:rsid w:val="0012194C"/>
    <w:rsid w:val="00135EE4"/>
    <w:rsid w:val="001668CD"/>
    <w:rsid w:val="00171F5A"/>
    <w:rsid w:val="00172F98"/>
    <w:rsid w:val="00176632"/>
    <w:rsid w:val="00177C11"/>
    <w:rsid w:val="00180E9C"/>
    <w:rsid w:val="001A3047"/>
    <w:rsid w:val="001A73C4"/>
    <w:rsid w:val="001B1F80"/>
    <w:rsid w:val="001B2918"/>
    <w:rsid w:val="001C3C64"/>
    <w:rsid w:val="001C5BDA"/>
    <w:rsid w:val="001D468A"/>
    <w:rsid w:val="001E20F7"/>
    <w:rsid w:val="001F523D"/>
    <w:rsid w:val="0023005E"/>
    <w:rsid w:val="00247464"/>
    <w:rsid w:val="00252501"/>
    <w:rsid w:val="002549EF"/>
    <w:rsid w:val="00255766"/>
    <w:rsid w:val="0026068E"/>
    <w:rsid w:val="002619DA"/>
    <w:rsid w:val="00275F28"/>
    <w:rsid w:val="0029126F"/>
    <w:rsid w:val="002A3D9F"/>
    <w:rsid w:val="002B3EB1"/>
    <w:rsid w:val="002B4B5D"/>
    <w:rsid w:val="002B6898"/>
    <w:rsid w:val="002B77C6"/>
    <w:rsid w:val="002D7917"/>
    <w:rsid w:val="002E69BB"/>
    <w:rsid w:val="002E6F02"/>
    <w:rsid w:val="002F555A"/>
    <w:rsid w:val="00300A84"/>
    <w:rsid w:val="00303148"/>
    <w:rsid w:val="003059D7"/>
    <w:rsid w:val="003248B3"/>
    <w:rsid w:val="0033491C"/>
    <w:rsid w:val="0035128D"/>
    <w:rsid w:val="0035366A"/>
    <w:rsid w:val="00364267"/>
    <w:rsid w:val="00372853"/>
    <w:rsid w:val="00373ED2"/>
    <w:rsid w:val="00386EDD"/>
    <w:rsid w:val="00392FC5"/>
    <w:rsid w:val="003A0EE7"/>
    <w:rsid w:val="003A2A1C"/>
    <w:rsid w:val="003A554E"/>
    <w:rsid w:val="003C3A2A"/>
    <w:rsid w:val="003D5F90"/>
    <w:rsid w:val="003E301F"/>
    <w:rsid w:val="003F32DD"/>
    <w:rsid w:val="00401D2D"/>
    <w:rsid w:val="004132DA"/>
    <w:rsid w:val="0041426A"/>
    <w:rsid w:val="004237DB"/>
    <w:rsid w:val="00427C17"/>
    <w:rsid w:val="004372A2"/>
    <w:rsid w:val="00451F7D"/>
    <w:rsid w:val="00465134"/>
    <w:rsid w:val="004722EB"/>
    <w:rsid w:val="00485EA6"/>
    <w:rsid w:val="00491D21"/>
    <w:rsid w:val="004930EE"/>
    <w:rsid w:val="004939AB"/>
    <w:rsid w:val="0049460F"/>
    <w:rsid w:val="004A3DE8"/>
    <w:rsid w:val="004A75D5"/>
    <w:rsid w:val="004B19B7"/>
    <w:rsid w:val="004B608A"/>
    <w:rsid w:val="004C1D9D"/>
    <w:rsid w:val="004D0FC3"/>
    <w:rsid w:val="004D648B"/>
    <w:rsid w:val="004E04BC"/>
    <w:rsid w:val="00503C61"/>
    <w:rsid w:val="005062CD"/>
    <w:rsid w:val="005268CA"/>
    <w:rsid w:val="00535AB8"/>
    <w:rsid w:val="0054733F"/>
    <w:rsid w:val="00554E03"/>
    <w:rsid w:val="00555C7E"/>
    <w:rsid w:val="00564163"/>
    <w:rsid w:val="00582E83"/>
    <w:rsid w:val="005866DD"/>
    <w:rsid w:val="0059626F"/>
    <w:rsid w:val="00596F57"/>
    <w:rsid w:val="005A3393"/>
    <w:rsid w:val="005A452B"/>
    <w:rsid w:val="005B1012"/>
    <w:rsid w:val="005D5EBF"/>
    <w:rsid w:val="005E04D7"/>
    <w:rsid w:val="005E19FF"/>
    <w:rsid w:val="005E395A"/>
    <w:rsid w:val="005F43C1"/>
    <w:rsid w:val="005F70D5"/>
    <w:rsid w:val="00617FC8"/>
    <w:rsid w:val="006240EB"/>
    <w:rsid w:val="006326EF"/>
    <w:rsid w:val="00634D79"/>
    <w:rsid w:val="00645EDD"/>
    <w:rsid w:val="00650732"/>
    <w:rsid w:val="006536F3"/>
    <w:rsid w:val="00666DBC"/>
    <w:rsid w:val="00667A85"/>
    <w:rsid w:val="0067450A"/>
    <w:rsid w:val="0068662C"/>
    <w:rsid w:val="0069114C"/>
    <w:rsid w:val="0069715F"/>
    <w:rsid w:val="006975A4"/>
    <w:rsid w:val="006A7DF1"/>
    <w:rsid w:val="006B141D"/>
    <w:rsid w:val="006E4343"/>
    <w:rsid w:val="007023DF"/>
    <w:rsid w:val="00711194"/>
    <w:rsid w:val="007143D7"/>
    <w:rsid w:val="00734347"/>
    <w:rsid w:val="0074756A"/>
    <w:rsid w:val="007655AF"/>
    <w:rsid w:val="00794376"/>
    <w:rsid w:val="007A5C88"/>
    <w:rsid w:val="007B125B"/>
    <w:rsid w:val="007B2FCD"/>
    <w:rsid w:val="007B381B"/>
    <w:rsid w:val="007B4F14"/>
    <w:rsid w:val="007B5CF9"/>
    <w:rsid w:val="007C1599"/>
    <w:rsid w:val="007C432B"/>
    <w:rsid w:val="007C6DF2"/>
    <w:rsid w:val="007C6F33"/>
    <w:rsid w:val="007C7E29"/>
    <w:rsid w:val="007D0B19"/>
    <w:rsid w:val="007D7A38"/>
    <w:rsid w:val="007E7D53"/>
    <w:rsid w:val="00805984"/>
    <w:rsid w:val="00806169"/>
    <w:rsid w:val="00807BC6"/>
    <w:rsid w:val="0081019B"/>
    <w:rsid w:val="008105DC"/>
    <w:rsid w:val="00816D92"/>
    <w:rsid w:val="008217C6"/>
    <w:rsid w:val="00845B97"/>
    <w:rsid w:val="00854DB9"/>
    <w:rsid w:val="00861E61"/>
    <w:rsid w:val="008671FD"/>
    <w:rsid w:val="00870BDF"/>
    <w:rsid w:val="0087316B"/>
    <w:rsid w:val="008739FC"/>
    <w:rsid w:val="008754DE"/>
    <w:rsid w:val="008A149C"/>
    <w:rsid w:val="008A42F1"/>
    <w:rsid w:val="008C45F5"/>
    <w:rsid w:val="008C49AE"/>
    <w:rsid w:val="008C4D9D"/>
    <w:rsid w:val="008D63F8"/>
    <w:rsid w:val="0090131C"/>
    <w:rsid w:val="00907EA7"/>
    <w:rsid w:val="00910F78"/>
    <w:rsid w:val="0091187D"/>
    <w:rsid w:val="00915F87"/>
    <w:rsid w:val="00927AC9"/>
    <w:rsid w:val="00933F26"/>
    <w:rsid w:val="00937FA9"/>
    <w:rsid w:val="00954CBE"/>
    <w:rsid w:val="00971B45"/>
    <w:rsid w:val="00981A04"/>
    <w:rsid w:val="009A373F"/>
    <w:rsid w:val="009A6992"/>
    <w:rsid w:val="009B03F9"/>
    <w:rsid w:val="009B0443"/>
    <w:rsid w:val="009C401B"/>
    <w:rsid w:val="009D51F7"/>
    <w:rsid w:val="009D60EE"/>
    <w:rsid w:val="009F2CBE"/>
    <w:rsid w:val="00A05662"/>
    <w:rsid w:val="00A13A20"/>
    <w:rsid w:val="00A13D8C"/>
    <w:rsid w:val="00A14A6E"/>
    <w:rsid w:val="00A23180"/>
    <w:rsid w:val="00A23272"/>
    <w:rsid w:val="00A24B64"/>
    <w:rsid w:val="00A31C1D"/>
    <w:rsid w:val="00A51CED"/>
    <w:rsid w:val="00A5632A"/>
    <w:rsid w:val="00A73582"/>
    <w:rsid w:val="00A96EB1"/>
    <w:rsid w:val="00AD377C"/>
    <w:rsid w:val="00AE6A73"/>
    <w:rsid w:val="00AF151B"/>
    <w:rsid w:val="00AF227A"/>
    <w:rsid w:val="00AF68A2"/>
    <w:rsid w:val="00B04FD0"/>
    <w:rsid w:val="00B21729"/>
    <w:rsid w:val="00B24896"/>
    <w:rsid w:val="00B262C6"/>
    <w:rsid w:val="00B454D8"/>
    <w:rsid w:val="00B52BAA"/>
    <w:rsid w:val="00B54532"/>
    <w:rsid w:val="00B57AA7"/>
    <w:rsid w:val="00B705A0"/>
    <w:rsid w:val="00B71AE4"/>
    <w:rsid w:val="00B7250C"/>
    <w:rsid w:val="00B937BA"/>
    <w:rsid w:val="00B95E64"/>
    <w:rsid w:val="00BA02A8"/>
    <w:rsid w:val="00BD7DFC"/>
    <w:rsid w:val="00BE61BC"/>
    <w:rsid w:val="00BE623E"/>
    <w:rsid w:val="00BF6F26"/>
    <w:rsid w:val="00BF702D"/>
    <w:rsid w:val="00BF77B1"/>
    <w:rsid w:val="00C148C7"/>
    <w:rsid w:val="00C20EDE"/>
    <w:rsid w:val="00C21451"/>
    <w:rsid w:val="00C23D79"/>
    <w:rsid w:val="00C304E5"/>
    <w:rsid w:val="00C30CC6"/>
    <w:rsid w:val="00C3108C"/>
    <w:rsid w:val="00C35BDD"/>
    <w:rsid w:val="00C43697"/>
    <w:rsid w:val="00C44C3E"/>
    <w:rsid w:val="00C7270D"/>
    <w:rsid w:val="00C7574E"/>
    <w:rsid w:val="00C76DDF"/>
    <w:rsid w:val="00C77575"/>
    <w:rsid w:val="00C85048"/>
    <w:rsid w:val="00C90111"/>
    <w:rsid w:val="00CA25E8"/>
    <w:rsid w:val="00CC04DA"/>
    <w:rsid w:val="00CD2203"/>
    <w:rsid w:val="00CD433A"/>
    <w:rsid w:val="00CF4DBC"/>
    <w:rsid w:val="00CF64A3"/>
    <w:rsid w:val="00D165B1"/>
    <w:rsid w:val="00D206B4"/>
    <w:rsid w:val="00D25CB5"/>
    <w:rsid w:val="00D4422B"/>
    <w:rsid w:val="00D53A17"/>
    <w:rsid w:val="00D61CD7"/>
    <w:rsid w:val="00D70600"/>
    <w:rsid w:val="00D74703"/>
    <w:rsid w:val="00D77DB7"/>
    <w:rsid w:val="00D865E8"/>
    <w:rsid w:val="00D90F43"/>
    <w:rsid w:val="00D91CC9"/>
    <w:rsid w:val="00D96987"/>
    <w:rsid w:val="00D97BFF"/>
    <w:rsid w:val="00DA76FA"/>
    <w:rsid w:val="00DB542C"/>
    <w:rsid w:val="00DD1BA6"/>
    <w:rsid w:val="00DF17B5"/>
    <w:rsid w:val="00DF692D"/>
    <w:rsid w:val="00E00F61"/>
    <w:rsid w:val="00E01045"/>
    <w:rsid w:val="00E02868"/>
    <w:rsid w:val="00E22DAD"/>
    <w:rsid w:val="00E37631"/>
    <w:rsid w:val="00E421E1"/>
    <w:rsid w:val="00E458B8"/>
    <w:rsid w:val="00E54682"/>
    <w:rsid w:val="00E65085"/>
    <w:rsid w:val="00E7670E"/>
    <w:rsid w:val="00E76839"/>
    <w:rsid w:val="00E81A85"/>
    <w:rsid w:val="00E93DC8"/>
    <w:rsid w:val="00EB2159"/>
    <w:rsid w:val="00EC041C"/>
    <w:rsid w:val="00EC57D4"/>
    <w:rsid w:val="00EE418F"/>
    <w:rsid w:val="00EF148E"/>
    <w:rsid w:val="00F00AC8"/>
    <w:rsid w:val="00F033D6"/>
    <w:rsid w:val="00F11B94"/>
    <w:rsid w:val="00F12218"/>
    <w:rsid w:val="00F13953"/>
    <w:rsid w:val="00F25673"/>
    <w:rsid w:val="00F26818"/>
    <w:rsid w:val="00F32703"/>
    <w:rsid w:val="00F32A1F"/>
    <w:rsid w:val="00F32E04"/>
    <w:rsid w:val="00F47787"/>
    <w:rsid w:val="00F70057"/>
    <w:rsid w:val="00F7317D"/>
    <w:rsid w:val="00F776A3"/>
    <w:rsid w:val="00F86FB5"/>
    <w:rsid w:val="00F94A15"/>
    <w:rsid w:val="00F953FE"/>
    <w:rsid w:val="00FB7A33"/>
    <w:rsid w:val="00FC24AF"/>
    <w:rsid w:val="00FD032F"/>
    <w:rsid w:val="00FE36F5"/>
    <w:rsid w:val="00FE78A9"/>
    <w:rsid w:val="00FF5FC3"/>
    <w:rsid w:val="00FF7480"/>
    <w:rsid w:val="04896101"/>
    <w:rsid w:val="04F3531A"/>
    <w:rsid w:val="05F41477"/>
    <w:rsid w:val="0787341A"/>
    <w:rsid w:val="081D649F"/>
    <w:rsid w:val="0ECC307F"/>
    <w:rsid w:val="142853EC"/>
    <w:rsid w:val="17C23D9F"/>
    <w:rsid w:val="17D531C4"/>
    <w:rsid w:val="1C5E122A"/>
    <w:rsid w:val="1F9A27AD"/>
    <w:rsid w:val="21761381"/>
    <w:rsid w:val="22922C5A"/>
    <w:rsid w:val="26F56D1A"/>
    <w:rsid w:val="291F19E9"/>
    <w:rsid w:val="2A222584"/>
    <w:rsid w:val="2F59177D"/>
    <w:rsid w:val="2F78712D"/>
    <w:rsid w:val="31185880"/>
    <w:rsid w:val="319D1E93"/>
    <w:rsid w:val="33D71560"/>
    <w:rsid w:val="362E0CFA"/>
    <w:rsid w:val="38E1593F"/>
    <w:rsid w:val="3C8E6D6D"/>
    <w:rsid w:val="3D5F4782"/>
    <w:rsid w:val="403E09CB"/>
    <w:rsid w:val="42370666"/>
    <w:rsid w:val="42652D63"/>
    <w:rsid w:val="430A1F88"/>
    <w:rsid w:val="494F114F"/>
    <w:rsid w:val="4CB24DD5"/>
    <w:rsid w:val="51637FA2"/>
    <w:rsid w:val="56CC1134"/>
    <w:rsid w:val="579D08B2"/>
    <w:rsid w:val="57E33145"/>
    <w:rsid w:val="58A564EE"/>
    <w:rsid w:val="5C381546"/>
    <w:rsid w:val="64A313C6"/>
    <w:rsid w:val="64A71FA0"/>
    <w:rsid w:val="64AC5424"/>
    <w:rsid w:val="67CC53D4"/>
    <w:rsid w:val="6A01206D"/>
    <w:rsid w:val="6E325D96"/>
    <w:rsid w:val="70BB3A5A"/>
    <w:rsid w:val="70DA14A0"/>
    <w:rsid w:val="70F55374"/>
    <w:rsid w:val="71993898"/>
    <w:rsid w:val="71E37168"/>
    <w:rsid w:val="784538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9"/>
    <w:semiHidden/>
    <w:unhideWhenUsed/>
    <w:qFormat/>
    <w:uiPriority w:val="0"/>
    <w:pPr>
      <w:spacing w:after="120"/>
    </w:pPr>
  </w:style>
  <w:style w:type="paragraph" w:styleId="3">
    <w:name w:val="Date"/>
    <w:basedOn w:val="1"/>
    <w:next w:val="1"/>
    <w:link w:val="18"/>
    <w:qFormat/>
    <w:uiPriority w:val="0"/>
    <w:pPr>
      <w:ind w:left="100" w:leftChars="2500"/>
    </w:pPr>
  </w:style>
  <w:style w:type="paragraph" w:styleId="4">
    <w:name w:val="Balloon Text"/>
    <w:basedOn w:val="1"/>
    <w:link w:val="22"/>
    <w:semiHidden/>
    <w:unhideWhenUsed/>
    <w:qFormat/>
    <w:uiPriority w:val="0"/>
    <w:rPr>
      <w:sz w:val="18"/>
      <w:szCs w:val="18"/>
    </w:rPr>
  </w:style>
  <w:style w:type="paragraph" w:styleId="5">
    <w:name w:val="footer"/>
    <w:basedOn w:val="1"/>
    <w:unhideWhenUsed/>
    <w:qFormat/>
    <w:uiPriority w:val="99"/>
    <w:pPr>
      <w:tabs>
        <w:tab w:val="center" w:pos="4153"/>
        <w:tab w:val="right" w:pos="8306"/>
      </w:tabs>
      <w:snapToGrid w:val="0"/>
    </w:pPr>
    <w:rPr>
      <w:rFonts w:ascii="Times New Roman" w:hAnsi="Times New Roman" w:eastAsia="Microsoft JhengHei Light"/>
      <w:color w:val="000000"/>
      <w:kern w:val="0"/>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w:basedOn w:val="2"/>
    <w:link w:val="20"/>
    <w:unhideWhenUsed/>
    <w:qFormat/>
    <w:uiPriority w:val="99"/>
    <w:pPr>
      <w:ind w:firstLine="420" w:firstLineChars="100"/>
    </w:pPr>
    <w:rPr>
      <w:rFonts w:cs="黑体"/>
    </w:rPr>
  </w:style>
  <w:style w:type="table" w:styleId="10">
    <w:name w:val="Table Grid"/>
    <w:basedOn w:val="9"/>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2">
    <w:name w:val="page number"/>
    <w:unhideWhenUsed/>
    <w:qFormat/>
    <w:uiPriority w:val="99"/>
    <w:rPr>
      <w:rFonts w:eastAsia="Times New Roman"/>
      <w:sz w:val="21"/>
    </w:rPr>
  </w:style>
  <w:style w:type="paragraph" w:customStyle="1" w:styleId="13">
    <w:name w:val="Default"/>
    <w:qFormat/>
    <w:uiPriority w:val="0"/>
    <w:pPr>
      <w:widowControl w:val="0"/>
      <w:autoSpaceDE w:val="0"/>
      <w:autoSpaceDN w:val="0"/>
      <w:adjustRightInd w:val="0"/>
    </w:pPr>
    <w:rPr>
      <w:rFonts w:ascii="宋体_x0003_...销." w:hAnsi="Times New Roman" w:eastAsia="宋体_x0003_...销." w:cs="宋体_x0003_...销."/>
      <w:color w:val="000000"/>
      <w:sz w:val="24"/>
      <w:szCs w:val="24"/>
      <w:lang w:val="en-US" w:eastAsia="zh-CN" w:bidi="ar-SA"/>
    </w:rPr>
  </w:style>
  <w:style w:type="paragraph" w:customStyle="1" w:styleId="14">
    <w:name w:val="标题 #2"/>
    <w:basedOn w:val="15"/>
    <w:link w:val="21"/>
    <w:qFormat/>
    <w:uiPriority w:val="0"/>
    <w:pPr>
      <w:shd w:val="clear" w:color="auto" w:fill="auto"/>
      <w:spacing w:beforeLines="50" w:afterLines="50" w:line="400" w:lineRule="exact"/>
      <w:ind w:right="159" w:firstLine="0"/>
      <w:outlineLvl w:val="1"/>
    </w:pPr>
    <w:rPr>
      <w:rFonts w:ascii="Times New Roman Regular" w:hAnsi="Times New Roman Regular" w:eastAsia="黑体"/>
      <w:bCs/>
      <w:kern w:val="2"/>
      <w:sz w:val="24"/>
      <w:szCs w:val="24"/>
      <w:shd w:val="clear" w:color="auto" w:fill="FFFFFF"/>
    </w:rPr>
  </w:style>
  <w:style w:type="paragraph" w:customStyle="1" w:styleId="15">
    <w:name w:val="正文文本 (8)"/>
    <w:basedOn w:val="1"/>
    <w:qFormat/>
    <w:uiPriority w:val="0"/>
    <w:pPr>
      <w:shd w:val="clear" w:color="auto" w:fill="FFFFFF"/>
      <w:spacing w:line="623" w:lineRule="exact"/>
      <w:ind w:hanging="460"/>
    </w:pPr>
    <w:rPr>
      <w:rFonts w:ascii="宋体" w:hAnsi="宋体"/>
      <w:kern w:val="0"/>
      <w:sz w:val="20"/>
      <w:szCs w:val="20"/>
    </w:rPr>
  </w:style>
  <w:style w:type="character" w:customStyle="1" w:styleId="16">
    <w:name w:val="正文文本 (2) + 间距 1 pt1"/>
    <w:qFormat/>
    <w:uiPriority w:val="0"/>
    <w:rPr>
      <w:rFonts w:ascii="宋体" w:hAnsi="宋体" w:eastAsia="宋体" w:cs="宋体"/>
      <w:color w:val="000000"/>
      <w:spacing w:val="20"/>
      <w:w w:val="100"/>
      <w:position w:val="0"/>
      <w:sz w:val="22"/>
      <w:szCs w:val="22"/>
      <w:u w:val="none"/>
      <w:lang w:val="zh-CN" w:eastAsia="zh-CN" w:bidi="zh-CN"/>
    </w:rPr>
  </w:style>
  <w:style w:type="character" w:customStyle="1" w:styleId="17">
    <w:name w:val="页眉 Char"/>
    <w:basedOn w:val="11"/>
    <w:link w:val="6"/>
    <w:qFormat/>
    <w:uiPriority w:val="0"/>
    <w:rPr>
      <w:rFonts w:ascii="Calibri" w:hAnsi="Calibri" w:eastAsia="宋体" w:cs="Times New Roman"/>
      <w:kern w:val="2"/>
      <w:sz w:val="18"/>
      <w:szCs w:val="18"/>
    </w:rPr>
  </w:style>
  <w:style w:type="character" w:customStyle="1" w:styleId="18">
    <w:name w:val="日期 Char"/>
    <w:basedOn w:val="11"/>
    <w:link w:val="3"/>
    <w:qFormat/>
    <w:uiPriority w:val="0"/>
    <w:rPr>
      <w:rFonts w:ascii="Calibri" w:hAnsi="Calibri" w:eastAsia="宋体" w:cs="Times New Roman"/>
      <w:kern w:val="2"/>
      <w:sz w:val="21"/>
      <w:szCs w:val="21"/>
    </w:rPr>
  </w:style>
  <w:style w:type="character" w:customStyle="1" w:styleId="19">
    <w:name w:val="正文文本 Char"/>
    <w:basedOn w:val="11"/>
    <w:link w:val="2"/>
    <w:semiHidden/>
    <w:qFormat/>
    <w:uiPriority w:val="0"/>
    <w:rPr>
      <w:rFonts w:ascii="Calibri" w:hAnsi="Calibri" w:eastAsia="宋体" w:cs="Times New Roman"/>
      <w:kern w:val="2"/>
      <w:sz w:val="21"/>
      <w:szCs w:val="21"/>
    </w:rPr>
  </w:style>
  <w:style w:type="character" w:customStyle="1" w:styleId="20">
    <w:name w:val="正文首行缩进 Char"/>
    <w:basedOn w:val="19"/>
    <w:link w:val="8"/>
    <w:qFormat/>
    <w:uiPriority w:val="99"/>
    <w:rPr>
      <w:rFonts w:cs="黑体"/>
    </w:rPr>
  </w:style>
  <w:style w:type="character" w:customStyle="1" w:styleId="21">
    <w:name w:val="标题 #2_"/>
    <w:link w:val="14"/>
    <w:qFormat/>
    <w:uiPriority w:val="0"/>
    <w:rPr>
      <w:rFonts w:ascii="Times New Roman Regular" w:hAnsi="Times New Roman Regular" w:eastAsia="黑体" w:cs="Times New Roman"/>
      <w:bCs/>
      <w:kern w:val="2"/>
      <w:sz w:val="24"/>
      <w:szCs w:val="24"/>
    </w:rPr>
  </w:style>
  <w:style w:type="character" w:customStyle="1" w:styleId="22">
    <w:name w:val="批注框文本 Char"/>
    <w:basedOn w:val="11"/>
    <w:link w:val="4"/>
    <w:semiHidden/>
    <w:qFormat/>
    <w:uiPriority w:val="0"/>
    <w:rPr>
      <w:rFonts w:ascii="Calibri" w:hAnsi="Calibri" w:eastAsia="宋体" w:cs="Times New Roman"/>
      <w:kern w:val="2"/>
      <w:sz w:val="18"/>
      <w:szCs w:val="18"/>
    </w:rPr>
  </w:style>
  <w:style w:type="paragraph" w:customStyle="1" w:styleId="2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ntractReview xmlns="http://schemas.wps.cn/vas-ai-hub/contract-review">
  <reviewItems>
    <reviewItem>
      <errorID>5aa664a9-0eed-4484-8623-6ed558c54444</errorID>
      <errorWord>博物馆公共文化服务规范  教育服务</errorWord>
      <group>L1_Other</group>
      <groupName>其他问题</groupName>
      <ability>L2_Consistency</ability>
      <abilityName>一致性检查</abilityName>
      <candidateList>
        <item>《博物馆公共文化服务  教育服务规范》</item>
      </candidateList>
      <explain>实体一致性问题，标准名称前后应统一，最终确定的标准名称为《博物馆公共文化服务  教育服务规范》</explain>
      <paraID>1D488E5F</paraID>
      <start>162</start>
      <end>179</end>
      <status>unmodified</status>
      <modifiedWord/>
      <trackRevisions>false</trackRevisions>
    </reviewItem>
    <reviewItem>
      <errorID>91e7a18d-36e3-4e3f-9849-735ee8b17785</errorID>
      <errorWord>越加</errorWord>
      <group>L1_Word</group>
      <groupName>字词问题</groupName>
      <ability>L2_Typo</ability>
      <abilityName>字词错误</abilityName>
      <candidateList>
        <item>愈加</item>
      </candidateList>
      <explain/>
      <paraID>718DD597</paraID>
      <start>76</start>
      <end>78</end>
      <status>unmodified</status>
      <modifiedWord/>
      <trackRevisions>false</trackRevisions>
    </reviewItem>
    <reviewItem>
      <errorID>2ffa74e5-70a4-4e87-a966-34a96c3956d4</errorID>
      <errorWord>，</errorWord>
      <group>L1_Word</group>
      <groupName>字词问题</groupName>
      <ability>L2_Typo</ability>
      <abilityName>字词错误</abilityName>
      <candidateList>
        <item>，由</item>
      </candidateList>
      <explain/>
      <paraID>1B497621</paraID>
      <start>29</start>
      <end>30</end>
      <status>unmodified</status>
      <modifiedWord/>
      <trackRevisions>false</trackRevisions>
    </reviewItem>
    <reviewItem>
      <errorID>25e4f81b-f450-4302-9a96-74027eddbdd2</errorID>
      <errorWord>大体</errorWord>
      <group>L1_Word</group>
      <groupName>字词问题</groupName>
      <ability>L2_Typo</ability>
      <abilityName>字词错误</abilityName>
      <candidateList>
        <item>基本</item>
      </candidateList>
      <explain/>
      <paraID>656C25DD</paraID>
      <start>60</start>
      <end>62</end>
      <status>unmodified</status>
      <modifiedWord/>
      <trackRevisions>false</trackRevisions>
    </reviewItem>
    <reviewItem>
      <errorID>792352ec-fc95-49be-8d9a-0ed5de6f752b</errorID>
      <errorWord>翔实</errorWord>
      <group>L1_Word</group>
      <groupName>字词问题</groupName>
      <ability>L2_Typo</ability>
      <abilityName>字词错误</abilityName>
      <candidateList>
        <item>详实</item>
      </candidateList>
      <explain>存在发音相同字词的误用。</explain>
      <paraID>5B6487B9</paraID>
      <start>208</start>
      <end>210</end>
      <status>unmodified</status>
      <modifiedWord/>
      <trackRevisions>false</trackRevisions>
    </reviewItem>
    <reviewItem>
      <errorID>95f88d25-2dab-4fc9-8698-1c24ef26c498</errorID>
      <errorWord> </errorWord>
      <group>L1_Punc</group>
      <groupName>标点问题</groupName>
      <ability>L2_Punc</ability>
      <abilityName>标点符号检查</abilityName>
      <candidateList>
        <item/>
      </candidateList>
      <explain>此处空格冗余，建议删除。</explain>
      <paraID> 1FAA6A7</paraID>
      <start>23</start>
      <end>24</end>
      <status>unmodified</status>
      <modifiedWord/>
      <trackRevisions>false</trackRevisions>
    </reviewItem>
    <reviewItem>
      <errorID>062fb7f2-751a-448f-9f5d-ae3c65cad885</errorID>
      <errorWord>－</errorWord>
      <group>L1_Punc</group>
      <groupName>标点问题</groupName>
      <ability>L2_Punc</ability>
      <abilityName>标点符号检查</abilityName>
      <candidateList>
        <item>—</item>
      </candidateList>
      <explain/>
      <paraID>34C3BBB6</paraID>
      <start>19</start>
      <end>20</end>
      <status>unmodified</status>
      <modifiedWord/>
      <trackRevisions>false</trackRevisions>
    </reviewItem>
    <reviewItem>
      <errorID>f1224165-3a08-4c52-ac55-f54384023ceb</errorID>
      <errorWord>从</errorWord>
      <group>L1_Grammar</group>
      <groupName>语法问题</groupName>
      <ability>L2_Grammar</ability>
      <abilityName>语法错误</abilityName>
      <candidateList>
        <item>综合考虑</item>
      </candidateList>
      <explain/>
      <paraID>258B5BCC</paraID>
      <start>139</start>
      <end>140</end>
      <status>unmodified</status>
      <modifiedWord/>
      <trackRevisions>false</trackRevisions>
    </reviewItem>
    <reviewItem>
      <errorID>b4ffc4b0-4abf-4f4c-99a8-6f064d8ef990</errorID>
      <errorWord>需求综合考虑</errorWord>
      <group>L1_Grammar</group>
      <groupName>语法问题</groupName>
      <ability>L2_Grammar</ability>
      <abilityName>语法错误</abilityName>
      <candidateList>
        <item>需求</item>
      </candidateList>
      <explain/>
      <paraID>258B5BCC</paraID>
      <start>159</start>
      <end>165</end>
      <status>unmodified</status>
      <modifiedWord/>
      <trackRevisions>false</trackRevisions>
    </reviewItem>
    <reviewItem>
      <errorID>3a62003f-7ae0-4e0b-b66f-4c801230e3b6</errorID>
      <errorWord>、</errorWord>
      <group>L1_Punc</group>
      <groupName>标点问题</groupName>
      <ability>L2_Punc</ability>
      <abilityName>标点符号检查</abilityName>
      <candidateList>
        <item>，</item>
      </candidateList>
      <explain/>
      <paraID>54BDC60F</paraID>
      <start>109</start>
      <end>110</end>
      <status>unmodified</status>
      <modifiedWord/>
      <trackRevisions>false</trackRevisions>
    </reviewItem>
    <reviewItem>
      <errorID>d439d300-dd52-4a8d-848f-26314b1143e5</errorID>
      <errorWord>、</errorWord>
      <group>L1_Punc</group>
      <groupName>标点问题</groupName>
      <ability>L2_Punc</ability>
      <abilityName>标点符号检查</abilityName>
      <candidateList>
        <item>，</item>
      </candidateList>
      <explain/>
      <paraID>54BDC60F</paraID>
      <start>122</start>
      <end>123</end>
      <status>unmodified</status>
      <modifiedWord/>
      <trackRevisions>false</trackRevisions>
    </reviewItem>
    <reviewItem>
      <errorID>e6e4864b-e8f0-4f2c-a951-15b8b79ae641</errorID>
      <errorWord>明确规范了</errorWord>
      <group>L1_Word</group>
      <groupName>字词问题</groupName>
      <ability>L2_Typo</ability>
      <abilityName>字词错误</abilityName>
      <candidateList>
        <item>明确规定了</item>
      </candidateList>
      <explain/>
      <paraID>6A396E51</paraID>
      <start>22</start>
      <end>27</end>
      <status>unmodified</status>
      <modifiedWord/>
      <trackRevisions>false</trackRevisions>
    </reviewItem>
    <reviewItem>
      <errorID>4ffbb09d-b441-4f77-8d40-17c5de4dce27</errorID>
      <errorWord>掌握</errorWord>
      <group>L1_Word</group>
      <groupName>字词问题</groupName>
      <ability>L2_Typo</ability>
      <abilityName>字词错误</abilityName>
      <candidateList>
        <item>并掌握</item>
      </candidateList>
      <explain/>
      <paraID> 9634BC6</paraID>
      <start>13</start>
      <end>15</end>
      <status>unmodified</status>
      <modifiedWord/>
      <trackRevisions>false</trackRevisions>
    </reviewItem>
    <reviewItem>
      <errorID>18e7a61c-fe12-44ce-a115-2067759675c4</errorID>
      <errorWord>及</errorWord>
      <group>L1_Word</group>
      <groupName>字词问题</groupName>
      <ability>L2_Typo</ability>
      <abilityName>字词错误</abilityName>
      <candidateList>
        <item>、</item>
      </candidateList>
      <explain/>
      <paraID> 9634BC6</paraID>
      <start>39</start>
      <end>40</end>
      <status>unmodified</status>
      <modifiedWord/>
      <trackRevisions>false</trackRevisions>
    </reviewItem>
    <reviewItem>
      <errorID>9593c44f-174d-4e6a-bbca-70a279dcf7f9</errorID>
      <errorWord>基本</errorWord>
      <group>L1_Word</group>
      <groupName>字词问题</groupName>
      <ability>L2_Typo</ability>
      <abilityName>字词错误</abilityName>
      <candidateList>
        <item>的基本</item>
      </candidateList>
      <explain/>
      <paraID>70E20273</paraID>
      <start>94</start>
      <end>96</end>
      <status>unmodified</status>
      <modifiedWord/>
      <trackRevisions>false</trackRevisions>
    </reviewItem>
    <reviewItem>
      <errorID>16c2739e-ffd1-46e4-ac90-da90e86fa904</errorID>
      <errorWord>《</errorWord>
      <group>L1_Punc</group>
      <groupName>标点问题</groupName>
      <ability>L2_Punc</ability>
      <abilityName>标点符号检查</abilityName>
      <candidateList>
        <item>、《</item>
      </candidateList>
      <explain/>
      <paraID> A4F4F03</paraID>
      <start>80</start>
      <end>81</end>
      <status>unmodified</status>
      <modifiedWord/>
      <trackRevisions>false</trackRevisions>
    </reviewItem>
    <reviewItem>
      <errorID>c68adf4b-7a40-4094-8fe5-daa29667653c</errorID>
      <errorWord>《</errorWord>
      <group>L1_Punc</group>
      <groupName>标点问题</groupName>
      <ability>L2_Punc</ability>
      <abilityName>标点符号检查</abilityName>
      <candidateList>
        <item>、《</item>
      </candidateList>
      <explain/>
      <paraID> A4F4F03</paraID>
      <start>116</start>
      <end>117</end>
      <status>unmodified</status>
      <modifiedWord/>
      <trackRevisions>false</trackRevisions>
    </reviewItem>
    <reviewItem>
      <errorID>d6c8b942-2437-45f0-8fda-72ee0d314c3e</errorID>
      <errorWord>《</errorWord>
      <group>L1_Punc</group>
      <groupName>标点问题</groupName>
      <ability>L2_Punc</ability>
      <abilityName>标点符号检查</abilityName>
      <candidateList>
        <item>、《</item>
      </candidateList>
      <explain/>
      <paraID>5FC726DF</paraID>
      <start>57</start>
      <end>58</end>
      <status>unmodified</status>
      <modifiedWord/>
      <trackRevisions>false</trackRevisions>
    </reviewItem>
    <reviewItem>
      <errorID>3064954f-1f58-4d6f-811d-8f0e64c5a97e</errorID>
      <errorWord>《</errorWord>
      <group>L1_Punc</group>
      <groupName>标点问题</groupName>
      <ability>L2_Punc</ability>
      <abilityName>标点符号检查</abilityName>
      <candidateList>
        <item>、《</item>
      </candidateList>
      <explain/>
      <paraID>77EB9C70</paraID>
      <start>299</start>
      <end>300</end>
      <status>unmodified</status>
      <modifiedWord/>
      <trackRevisions>false</trackRevisions>
    </reviewItem>
    <reviewItem>
      <errorID>10510a41-dd70-4524-9acf-9ca1bdf4660c</errorID>
      <errorWord>《</errorWord>
      <group>L1_Punc</group>
      <groupName>标点问题</groupName>
      <ability>L2_Punc</ability>
      <abilityName>标点符号检查</abilityName>
      <candidateList>
        <item>、《</item>
      </candidateList>
      <explain/>
      <paraID>77EB9C70</paraID>
      <start>330</start>
      <end>331</end>
      <status>unmodified</status>
      <modifiedWord/>
      <trackRevisions>false</trackRevisions>
    </reviewItem>
    <reviewItem>
      <errorID>513aef68-de9c-45dc-9058-e1f2275edd76</errorID>
      <errorWord>《</errorWord>
      <group>L1_Punc</group>
      <groupName>标点问题</groupName>
      <ability>L2_Punc</ability>
      <abilityName>标点符号检查</abilityName>
      <candidateList>
        <item>、《</item>
      </candidateList>
      <explain/>
      <paraID>3039EC2E</paraID>
      <start>80</start>
      <end>81</end>
      <status>unmodified</status>
      <modifiedWord/>
      <trackRevisions>false</trackRevisions>
    </reviewItem>
    <reviewItem>
      <errorID>1c01c95b-9bd8-4545-bc7a-ce480de5aa96</errorID>
      <errorWord>相关</errorWord>
      <group>L1_Word</group>
      <groupName>字词问题</groupName>
      <ability>L2_Typo</ability>
      <abilityName>字词错误</abilityName>
      <candidateList>
        <item>的相关</item>
      </candidateList>
      <explain/>
      <paraID>7FCC2342</paraID>
      <start>24</start>
      <end>26</end>
      <status>unmodified</status>
      <modifiedWord/>
      <trackRevisions>false</trackRevisions>
    </reviewItem>
    <reviewItem>
      <errorID>ad910cd7-8af7-459a-b982-e7391273f656</errorID>
      <errorWord>: </errorWord>
      <group>L1_Punc</group>
      <groupName>标点问题</groupName>
      <ability>L2_Punc</ability>
      <abilityName>标点符号检查</abilityName>
      <candidateList>
        <item>：</item>
      </candidateList>
      <explain/>
      <paraID>7FCC2342</paraID>
      <start>194</start>
      <end>196</end>
      <status>unmodified</status>
      <modifiedWord/>
      <trackRevisions>false</trackRevisions>
    </reviewItem>
    <reviewItem>
      <errorID>3348510f-1e67-4719-8748-38aa4dcba027</errorID>
      <errorWord>扩展</errorWord>
      <group>L1_Word</group>
      <groupName>字词问题</groupName>
      <ability>L2_Typo</ability>
      <abilityName>字词错误</abilityName>
      <candidateList>
        <item>拓展</item>
      </candidateList>
      <explain/>
      <paraID>7FCC2342</paraID>
      <start>244</start>
      <end>246</end>
      <status>unmodified</status>
      <modifiedWord/>
      <trackRevisions>false</trackRevisions>
    </reviewItem>
    <reviewItem>
      <errorID>83a5f4db-378d-4576-8bb8-633e5cc719e0</errorID>
      <errorWord>进行</errorWord>
      <group>L1_Word</group>
      <groupName>字词问题</groupName>
      <ability>L2_Typo</ability>
      <abilityName>字词错误</abilityName>
      <candidateList>
        <item>作出</item>
      </candidateList>
      <explain/>
      <paraID>7FCC2342</paraID>
      <start>316</start>
      <end>318</end>
      <status>unmodified</status>
      <modifiedWord/>
      <trackRevisions>false</trackRevisions>
    </reviewItem>
    <reviewItem>
      <errorID>dc978479-7b17-4379-8e50-327c66c3bd22</errorID>
      <errorWord>被统称为“美国博物馆标准和最佳做法”的一系列</errorWord>
      <group>L1_Word</group>
      <groupName>字词问题</groupName>
      <ability>L2_Typo</ability>
      <abilityName>字词错误</abilityName>
      <candidateList>
        <item>一系列被统称为“美国博物馆标准和最佳做法”的</item>
      </candidateList>
      <explain/>
      <paraID>7FCC2342</paraID>
      <start>338</start>
      <end>360</end>
      <status>unmodified</status>
      <modifiedWord/>
      <trackRevisions>false</trackRevisions>
    </reviewItem>
    <reviewItem>
      <errorID>ff9bd7a9-52c2-4026-a943-9ceb07a5d3f3</errorID>
      <errorWord>通过</errorWord>
      <group>L1_Word</group>
      <groupName>字词问题</groupName>
      <ability>L2_Typo</ability>
      <abilityName>字词错误</abilityName>
      <candidateList>
        <item>并通过</item>
      </candidateList>
      <explain/>
      <paraID>7FCC2342</paraID>
      <start>450</start>
      <end>452</end>
      <status>unmodified</status>
      <modifiedWord/>
      <trackRevisions>false</trackRevisions>
    </reviewItem>
    <reviewItem>
      <errorID>34d72da1-deb2-4c44-a370-6d3294456645</errorID>
      <errorWord>崭新</errorWord>
      <group>L1_Word</group>
      <groupName>字词问题</groupName>
      <ability>L2_Typo</ability>
      <abilityName>字词错误</abilityName>
      <candidateList>
        <item>的崭新</item>
      </candidateList>
      <explain/>
      <paraID>7FCC2342</paraID>
      <start>563</start>
      <end>565</end>
      <status>unmodified</status>
      <modifiedWord/>
      <trackRevisions>false</trackRevisions>
    </reviewItem>
    <reviewItem>
      <errorID>10d0304d-81c1-44fd-84b1-0ceb9c334fb9</errorID>
      <errorWord>或者</errorWord>
      <group>L1_Word</group>
      <groupName>字词问题</groupName>
      <ability>L2_Typo</ability>
      <abilityName>字词错误</abilityName>
      <candidateList>
        <item>或</item>
      </candidateList>
      <explain/>
      <paraID>1E63C3D7</paraID>
      <start>6</start>
      <end>8</end>
      <status>unmodified</status>
      <modifiedWord/>
      <trackRevisions>false</trackRevisions>
    </reviewItem>
    <reviewItem>
      <errorID>525bf074-9dcf-40cb-ada8-5fbd5206c107</errorID>
      <errorWord>及</errorWord>
      <group>L1_Word</group>
      <groupName>字词问题</groupName>
      <ability>L2_Typo</ability>
      <abilityName>字词错误</abilityName>
      <candidateList>
        <item>、</item>
      </candidateList>
      <explain/>
      <paraID>470336A6</paraID>
      <start>36</start>
      <end>37</end>
      <status>unmodified</status>
      <modifiedWord/>
      <trackRevisions>false</trackRevisions>
    </reviewItem>
    <reviewItem>
      <errorID>5ddb6821-847b-4b66-87f1-49b1aeebfa33</errorID>
      <errorWord>、</errorWord>
      <group>L1_Word</group>
      <groupName>字词问题</groupName>
      <ability>L2_Typo</ability>
      <abilityName>字词错误</abilityName>
      <candidateList>
        <item>和</item>
      </candidateList>
      <explain/>
      <paraID>470336A6</paraID>
      <start>42</start>
      <end>43</end>
      <status>unmodified</status>
      <modifiedWord/>
      <trackRevisions>false</trackRevisions>
    </reviewItem>
    <reviewItem>
      <errorID>6070b253-c085-4992-9ced-42c22085cc4a</errorID>
      <errorWord>保持一致</errorWord>
      <group>L1_Word</group>
      <groupName>字词问题</groupName>
      <ability>L2_Typo</ability>
      <abilityName>字词错误</abilityName>
      <candidateList>
        <item>相一致</item>
      </candidateList>
      <explain/>
      <paraID>348EDB72</paraID>
      <start>211</start>
      <end>215</end>
      <status>unmodified</status>
      <modifiedWord/>
      <trackRevisions>false</trackRevisions>
    </reviewItem>
    <reviewItem>
      <errorID>67bdeb70-c21d-4218-9c39-d295afb6b77b</errorID>
      <errorWord>）</errorWord>
      <group>L1_Word</group>
      <groupName>字词问题</groupName>
      <ability>L2_Typo</ability>
      <abilityName>字词错误</abilityName>
      <candidateList>
        <item>）和</item>
      </candidateList>
      <explain/>
      <paraID>2D53D7AD</paraID>
      <start>86</start>
      <end>87</end>
      <status>unmodified</status>
      <modifiedWord/>
      <trackRevisions>false</trackRevisions>
    </reviewItem>
    <reviewItem>
      <errorID>b6970792-090f-4540-bbb5-2049b474d977</errorID>
      <errorWord>《</errorWord>
      <group>L1_Punc</group>
      <groupName>标点问题</groupName>
      <ability>L2_Punc</ability>
      <abilityName>标点符号检查</abilityName>
      <candidateList>
        <item>、《</item>
      </candidateList>
      <explain/>
      <paraID>2D53D7AD</paraID>
      <start>87</start>
      <end>88</end>
      <status>unmodified</status>
      <modifiedWord/>
      <trackRevisions>false</trackRevisions>
    </reviewItem>
    <reviewItem>
      <errorID>2a7ccc27-c882-4d2f-a79a-64eafa989f8c</errorID>
      <errorWord>融入</errorWord>
      <group>L1_Word</group>
      <groupName>字词问题</groupName>
      <ability>L2_Typo</ability>
      <abilityName>字词错误</abilityName>
      <candidateList>
        <item>融合</item>
      </candidateList>
      <explain/>
      <paraID>68F4302F</paraID>
      <start>81</start>
      <end>83</end>
      <status>unmodified</status>
      <modifiedWord/>
      <trackRevisions>false</trackRevisions>
    </reviewItem>
    <reviewItem>
      <errorID>c8c014c9-488d-4c20-b32c-d296135f4315</errorID>
      <errorWord>国家数字</errorWord>
      <group>L1_Grammar</group>
      <groupName>语法问题</groupName>
      <ability>L2_Grammar</ability>
      <abilityName>语法错误</abilityName>
      <candidateList>
        <item>国家</item>
      </candidateList>
      <explain/>
      <paraID>68F4302F</paraID>
      <start>144</start>
      <end>148</end>
      <status>unmodified</status>
      <modifiedWord/>
      <trackRevisions>false</trackRevisions>
    </reviewItem>
    <reviewItem>
      <errorID>0e928192-5236-44c6-b47c-f5b589388a69</errorID>
      <errorWord>指标</errorWord>
      <group>L1_Word</group>
      <groupName>字词问题</groupName>
      <ability>L2_Typo</ability>
      <abilityName>字词错误</abilityName>
      <candidateList>
        <item>要求</item>
      </candidateList>
      <explain/>
      <paraID>68F4302F</paraID>
      <start>202</start>
      <end>204</end>
      <status>unmodified</status>
      <modifiedWord/>
      <trackRevisions>false</trackRevisions>
    </reviewItem>
    <reviewItem>
      <errorID>1bd82192-c485-4f95-9b6e-73ada5f0b7e9</errorID>
      <errorWord>确定</errorWord>
      <group>L1_Word</group>
      <groupName>字词问题</groupName>
      <ability>L2_Typo</ability>
      <abilityName>字词错误</abilityName>
      <candidateList>
        <item>的确定</item>
      </candidateList>
      <explain/>
      <paraID>68F4302F</paraID>
      <start>302</start>
      <end>304</end>
      <status>unmodified</status>
      <modifiedWord/>
      <trackRevisions>false</trackRevisions>
    </reviewItem>
    <reviewItem>
      <errorID>2cbd382c-e44a-4b2b-a4b0-b5f63616d1f9</errorID>
      <errorWord>给予</errorWord>
      <group>L1_Word</group>
      <groupName>字词问题</groupName>
      <ability>L2_Typo</ability>
      <abilityName>字词错误</abilityName>
      <candidateList>
        <item>提供</item>
      </candidateList>
      <explain/>
      <paraID>68F4302F</paraID>
      <start>477</start>
      <end>479</end>
      <status>unmodified</status>
      <modifiedWord/>
      <trackRevisions>false</trackRevisions>
    </reviewItem>
    <reviewItem>
      <errorID>c1d82eaa-5da3-4cd3-876f-b414425b0d70</errorID>
      <errorWord>实施后</errorWord>
      <group>L1_Word</group>
      <groupName>字词问题</groupName>
      <ability>L2_Typo</ability>
      <abilityName>字词错误</abilityName>
      <candidateList>
        <item>实施</item>
      </candidateList>
      <explain/>
      <paraID>146F7D2F</paraID>
      <start>17</start>
      <end>20</end>
      <status>unmodified</status>
      <modifiedWord/>
      <trackRevisions>false</trackRevisions>
    </reviewItem>
    <reviewItem>
      <errorID>71ae0588-ef0e-4741-86da-bb8b8d5c28eb</errorID>
      <errorWord>执行实施</errorWord>
      <group>L1_Grammar</group>
      <groupName>语法问题</groupName>
      <ability>L2_Grammar</ability>
      <abilityName>语法错误</abilityName>
      <candidateList>
        <item>执行</item>
      </candidateList>
      <explain/>
      <paraID>146F7D2F</paraID>
      <start>46</start>
      <end>50</end>
      <status>unmodified</status>
      <modifiedWord/>
      <trackRevisions>false</trackRevisions>
    </reviewItem>
    <reviewItem>
      <errorID>7df70439-c7bd-422e-a306-1431ec0e6a25</errorID>
      <errorWord>无</errorWord>
      <group>L1_Grammar</group>
      <groupName>语法问题</groupName>
      <ability>L2_Grammar</ability>
      <abilityName>语法错误</abilityName>
      <candidateList>
        <item>不存在</item>
      </candidateList>
      <explain/>
      <paraID>24448F65</paraID>
      <start>24</start>
      <end>25</end>
      <status>unmodified</status>
      <modifiedWord/>
      <trackRevisions>false</trackRevisions>
    </reviewItem>
    <reviewItem>
      <errorID>2b1e2c3a-e640-4e94-be65-62859fed0a0c</errorID>
      <errorWord>1）、</errorWord>
      <group>L1_Punc</group>
      <groupName>标点问题</groupName>
      <ability>L2_Punc</ability>
      <abilityName>标点符号检查</abilityName>
      <candidateList>
        <item>1）</item>
      </candidateList>
      <explain>根据国标GB/T 15834-2011《标点符号用法》中的4.5.3.3节，带括号的汉字数字或阿拉伯数字表次序时，后面通常不加顿号。如“（一）指导思想”“（二）行动指南”。</explain>
      <paraID>283C64D2</paraID>
      <start>69</start>
      <end>72</end>
      <status>unmodified</status>
      <modifiedWord/>
      <trackRevisions>false</trackRevisions>
    </reviewItem>
    <reviewItem>
      <errorID>9276b8f1-4cc4-48d0-80b3-40c2dd78f741</errorID>
      <errorWord>9）、</errorWord>
      <group>L1_Punc</group>
      <groupName>标点问题</groupName>
      <ability>L2_Punc</ability>
      <abilityName>标点符号检查</abilityName>
      <candidateList>
        <item>9）</item>
      </candidateList>
      <explain>根据国标GB/T 15834-2011《标点符号用法》中的4.5.3.3节，带括号的汉字数字或阿拉伯数字表次序时，后面通常不加顿号。如“（一）指导思想”“（二）行动指南”。</explain>
      <paraID>283C64D2</paraID>
      <start>106</start>
      <end>109</end>
      <status>unmodified</status>
      <modifiedWord/>
      <trackRevisions>false</trackRevisions>
    </reviewItem>
    <reviewItem>
      <errorID>d711cee0-57aa-4498-8f7e-e310c2c26406</errorID>
      <errorWord>1）、</errorWord>
      <group>L1_Punc</group>
      <groupName>标点问题</groupName>
      <ability>L2_Punc</ability>
      <abilityName>标点符号检查</abilityName>
      <candidateList>
        <item>1）</item>
      </candidateList>
      <explain>根据国标GB/T 15834-2011《标点符号用法》中的4.5.3.3节，带括号的汉字数字或阿拉伯数字表次序时，后面通常不加顿号。如“（一）指导思想”“（二）行动指南”。</explain>
      <paraID>283C64D2</paraID>
      <start>134</start>
      <end>137</end>
      <status>unmodified</status>
      <modifiedWord/>
      <trackRevisions>false</trackRevisions>
    </reviewItem>
    <reviewItem>
      <errorID>0057fdc3-d7d0-4560-8acb-d21efdda83af</errorID>
      <errorWord>1）、</errorWord>
      <group>L1_Punc</group>
      <groupName>标点问题</groupName>
      <ability>L2_Punc</ability>
      <abilityName>标点符号检查</abilityName>
      <candidateList>
        <item>1）</item>
      </candidateList>
      <explain>根据国标GB/T 15834-2011《标点符号用法》中的4.5.3.3节，带括号的汉字数字或阿拉伯数字表次序时，后面通常不加顿号。如“（一）指导思想”“（二）行动指南”。</explain>
      <paraID>283C64D2</paraID>
      <start>173</start>
      <end>176</end>
      <status>unmodified</status>
      <modifiedWord/>
      <trackRevisions>false</trackRevisions>
    </reviewItem>
    <reviewItem>
      <errorID>0315712c-3f6f-4129-b969-01e6fb195113</errorID>
      <errorWord>等措施建议</errorWord>
      <group>L1_Grammar</group>
      <groupName>语法问题</groupName>
      <ability>L2_Grammar</ability>
      <abilityName>语法错误</abilityName>
      <candidateList>
        <item>等</item>
      </candidateList>
      <explain/>
      <paraID>636CB3EF</paraID>
      <start>33</start>
      <end>38</end>
      <status>unmodified</status>
      <modifiedWord/>
      <trackRevisions>false</trackRevisions>
    </reviewItem>
    <reviewItem>
      <errorID>04d24ba7-781c-4c60-9cdd-46971bd52d3b</errorID>
      <errorWord>实施之日起生效</errorWord>
      <group>L1_Grammar</group>
      <groupName>语法问题</groupName>
      <ability>L2_Grammar</ability>
      <abilityName>语法错误</abilityName>
      <candidateList>
        <item>实施之日起</item>
      </candidateList>
      <explain/>
      <paraID>61850629</paraID>
      <start>22</start>
      <end>29</end>
      <status>unmodified</status>
      <modifiedWord/>
      <trackRevisions>false</trackRevisions>
    </reviewItem>
    <reviewItem>
      <errorID>a07192a3-eda6-4012-b1d2-e547e4fb5e53</errorID>
      <errorWord>发展</errorWord>
      <group>L1_Word</group>
      <groupName>字词问题</groupName>
      <ability>L2_Typo</ability>
      <abilityName>字词错误</abilityName>
      <candidateList>
        <item>开展</item>
      </candidateList>
      <explain>〈动〉展览会开始展出：一年一度的春节花展明天～。</explain>
      <paraID>1C38FAE0</paraID>
      <start>57</start>
      <end>59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D965CB-98E2-4242-BCC4-799B8CB8F06F}">
  <ds:schemaRefs/>
</ds:datastoreItem>
</file>

<file path=customXml/itemProps3.xml><?xml version="1.0" encoding="utf-8"?>
<ds:datastoreItem xmlns:ds="http://schemas.openxmlformats.org/officeDocument/2006/customXml" ds:itemID="{30bc4c0a-3b56-4f64-bf7a-acdb230bba83}">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10891</Words>
  <Characters>11367</Characters>
  <Lines>83</Lines>
  <Paragraphs>23</Paragraphs>
  <TotalTime>621</TotalTime>
  <ScaleCrop>false</ScaleCrop>
  <LinksUpToDate>false</LinksUpToDate>
  <CharactersWithSpaces>11654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2023-02-20T07:18:00Z</dcterms:created>
  <dc:creator>Z8000</dc:creator>
  <cp:lastModifiedBy>小颖</cp:lastModifiedBy>
  <cp:lastPrinted>2025-12-31T01:42:00Z</cp:lastPrinted>
  <dcterms:modified xsi:type="dcterms:W3CDTF">2026-04-23T05:50:58Z</dcterms:modified>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64144FFFB47F48378002B58553603545_13</vt:lpwstr>
  </property>
  <property fmtid="{D5CDD505-2E9C-101B-9397-08002B2CF9AE}" pid="4" name="KSOTemplateDocerSaveRecord">
    <vt:lpwstr>eyJoZGlkIjoiNzUwZDFkMDUyMDVhN2MwODA0MmZiZTJiYTMyZTM5MjkiLCJ1c2VySWQiOiI0MjY1OTk0MTUifQ==</vt:lpwstr>
  </property>
</Properties>
</file>